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3823DA">
      <w:pPr>
        <w:suppressLineNumbers/>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596B8F" w:rsidTr="00596B8F">
        <w:trPr>
          <w:jc w:val="center"/>
        </w:trPr>
        <w:tc>
          <w:tcPr>
            <w:tcW w:w="743" w:type="dxa"/>
            <w:hideMark/>
          </w:tcPr>
          <w:p w:rsidR="00596B8F" w:rsidRDefault="00596B8F" w:rsidP="00596B8F">
            <w:pPr>
              <w:jc w:val="both"/>
              <w:rPr>
                <w:rFonts w:ascii="Arial (W1)" w:hAnsi="Arial (W1)"/>
                <w:b/>
                <w:bCs/>
                <w:sz w:val="28"/>
                <w:szCs w:val="28"/>
              </w:rPr>
            </w:pPr>
            <w:r>
              <w:rPr>
                <w:rFonts w:hint="cs"/>
                <w:b/>
                <w:bCs/>
                <w:sz w:val="28"/>
                <w:rtl/>
              </w:rPr>
              <w:t>ב</w:t>
            </w:r>
            <w:r>
              <w:rPr>
                <w:b/>
                <w:bCs/>
                <w:sz w:val="28"/>
                <w:rtl/>
              </w:rPr>
              <w:t xml:space="preserve">פני </w:t>
            </w:r>
          </w:p>
        </w:tc>
        <w:tc>
          <w:tcPr>
            <w:tcW w:w="8077" w:type="dxa"/>
            <w:gridSpan w:val="2"/>
            <w:hideMark/>
          </w:tcPr>
          <w:p w:rsidR="00596B8F" w:rsidRDefault="00596B8F">
            <w:pPr>
              <w:rPr>
                <w:rFonts w:ascii="Arial" w:hAnsi="Arial"/>
                <w:b/>
                <w:bCs/>
              </w:rPr>
            </w:pPr>
            <w:r>
              <w:rPr>
                <w:rFonts w:ascii="Arial" w:hAnsi="Arial"/>
                <w:b/>
                <w:bCs/>
                <w:rtl/>
              </w:rPr>
              <w:t>כבוד ה</w:t>
            </w:r>
            <w:sdt>
              <w:sdtPr>
                <w:rPr>
                  <w:rtl/>
                </w:rPr>
                <w:alias w:val="1574"/>
                <w:tag w:val="1574"/>
                <w:id w:val="1520199221"/>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602227259"/>
                <w:text w:multiLine="1"/>
              </w:sdtPr>
              <w:sdtEndPr/>
              <w:sdtContent>
                <w:r>
                  <w:rPr>
                    <w:rFonts w:ascii="Arial" w:hAnsi="Arial"/>
                    <w:b/>
                    <w:bCs/>
                    <w:rtl/>
                  </w:rPr>
                  <w:t>אסף זגורי</w:t>
                </w:r>
              </w:sdtContent>
            </w:sdt>
          </w:p>
        </w:tc>
      </w:tr>
      <w:tr w:rsidR="00596B8F" w:rsidTr="00596B8F">
        <w:trPr>
          <w:jc w:val="center"/>
        </w:trPr>
        <w:tc>
          <w:tcPr>
            <w:tcW w:w="3249" w:type="dxa"/>
            <w:gridSpan w:val="2"/>
          </w:tcPr>
          <w:p w:rsidR="00596B8F" w:rsidRDefault="00596B8F">
            <w:pPr>
              <w:bidi w:val="0"/>
              <w:rPr>
                <w:rFonts w:ascii="Arial (W1)" w:hAnsi="Arial (W1)"/>
                <w:b/>
                <w:bCs/>
                <w:noProof w:val="0"/>
                <w:sz w:val="28"/>
                <w:szCs w:val="28"/>
                <w:rtl/>
              </w:rPr>
            </w:pPr>
          </w:p>
          <w:sdt>
            <w:sdtPr>
              <w:rPr>
                <w:rtl/>
              </w:rPr>
              <w:alias w:val="1180"/>
              <w:tag w:val="1180"/>
              <w:id w:val="1811977932"/>
              <w:text w:multiLine="1"/>
            </w:sdtPr>
            <w:sdtEndPr/>
            <w:sdtContent>
              <w:p w:rsidR="00596B8F" w:rsidRDefault="00596B8F">
                <w:pPr>
                  <w:rPr>
                    <w:rFonts w:ascii="Arial (W1)" w:hAnsi="Arial (W1)"/>
                    <w:b/>
                    <w:bCs/>
                    <w:noProof w:val="0"/>
                    <w:sz w:val="28"/>
                    <w:szCs w:val="28"/>
                    <w:rtl/>
                  </w:rPr>
                </w:pPr>
                <w:r>
                  <w:rPr>
                    <w:b/>
                    <w:bCs/>
                    <w:noProof w:val="0"/>
                    <w:sz w:val="28"/>
                    <w:rtl/>
                  </w:rPr>
                  <w:t>המערערת</w:t>
                </w:r>
              </w:p>
            </w:sdtContent>
          </w:sdt>
        </w:tc>
        <w:tc>
          <w:tcPr>
            <w:tcW w:w="5571" w:type="dxa"/>
          </w:tcPr>
          <w:p w:rsidR="00596B8F" w:rsidRDefault="00596B8F">
            <w:pPr>
              <w:rPr>
                <w:rFonts w:ascii="Arial (W1)" w:hAnsi="Arial (W1)"/>
                <w:b/>
                <w:bCs/>
                <w:noProof w:val="0"/>
                <w:sz w:val="28"/>
                <w:szCs w:val="28"/>
              </w:rPr>
            </w:pPr>
          </w:p>
          <w:p w:rsidR="00596B8F" w:rsidRDefault="00E467B1" w:rsidP="00E16D94">
            <w:pPr>
              <w:rPr>
                <w:b/>
                <w:bCs/>
                <w:noProof w:val="0"/>
                <w:sz w:val="28"/>
                <w:rtl/>
              </w:rPr>
            </w:pPr>
            <w:sdt>
              <w:sdtPr>
                <w:rPr>
                  <w:b/>
                  <w:bCs/>
                  <w:noProof w:val="0"/>
                  <w:sz w:val="28"/>
                  <w:rtl/>
                </w:rPr>
                <w:alias w:val="1478"/>
                <w:tag w:val="1478"/>
                <w:id w:val="1964151936"/>
                <w:text w:multiLine="1"/>
              </w:sdtPr>
              <w:sdtEndPr/>
              <w:sdtContent>
                <w:r w:rsidR="00E16D94">
                  <w:rPr>
                    <w:rFonts w:hint="cs"/>
                    <w:b/>
                    <w:bCs/>
                    <w:noProof w:val="0"/>
                    <w:sz w:val="28"/>
                    <w:rtl/>
                  </w:rPr>
                  <w:t>פלונית</w:t>
                </w:r>
              </w:sdtContent>
            </w:sdt>
            <w:r w:rsidR="00596B8F">
              <w:rPr>
                <w:b/>
                <w:bCs/>
                <w:noProof w:val="0"/>
                <w:sz w:val="28"/>
                <w:rtl/>
              </w:rPr>
              <w:t xml:space="preserve">  </w:t>
            </w:r>
          </w:p>
          <w:p w:rsidR="00596B8F" w:rsidRDefault="00596B8F">
            <w:pPr>
              <w:rPr>
                <w:rFonts w:ascii="Arial" w:hAnsi="Arial"/>
                <w:noProof w:val="0"/>
                <w:rtl/>
              </w:rPr>
            </w:pPr>
            <w:r>
              <w:rPr>
                <w:rFonts w:ascii="Arial" w:hAnsi="Arial"/>
                <w:noProof w:val="0"/>
                <w:rtl/>
              </w:rPr>
              <w:t xml:space="preserve">ע"י ב"כ עוה"ד זאיד עמאד  </w:t>
            </w:r>
          </w:p>
          <w:p w:rsidR="00596B8F" w:rsidRDefault="00596B8F">
            <w:pPr>
              <w:rPr>
                <w:rFonts w:ascii="Arial (W1)" w:hAnsi="Arial (W1)"/>
                <w:b/>
                <w:bCs/>
                <w:noProof w:val="0"/>
                <w:sz w:val="28"/>
                <w:szCs w:val="28"/>
                <w:rtl/>
              </w:rPr>
            </w:pPr>
            <w:r>
              <w:rPr>
                <w:rFonts w:ascii="Arial (W1)" w:hAnsi="Arial (W1)"/>
                <w:noProof w:val="0"/>
                <w:rtl/>
              </w:rPr>
              <w:t>מטעם הלשכה לסיוע משפטי</w:t>
            </w:r>
          </w:p>
        </w:tc>
      </w:tr>
      <w:tr w:rsidR="00596B8F" w:rsidTr="00596B8F">
        <w:trPr>
          <w:jc w:val="center"/>
        </w:trPr>
        <w:tc>
          <w:tcPr>
            <w:tcW w:w="8820" w:type="dxa"/>
            <w:gridSpan w:val="3"/>
          </w:tcPr>
          <w:p w:rsidR="00596B8F" w:rsidRDefault="00596B8F">
            <w:pPr>
              <w:rPr>
                <w:rFonts w:ascii="Arial (W1)" w:hAnsi="Arial (W1)"/>
                <w:b/>
                <w:bCs/>
                <w:noProof w:val="0"/>
                <w:sz w:val="28"/>
                <w:szCs w:val="28"/>
              </w:rPr>
            </w:pPr>
          </w:p>
          <w:p w:rsidR="00596B8F" w:rsidRDefault="00596B8F">
            <w:pPr>
              <w:jc w:val="center"/>
              <w:rPr>
                <w:b/>
                <w:bCs/>
                <w:noProof w:val="0"/>
                <w:sz w:val="28"/>
                <w:rtl/>
              </w:rPr>
            </w:pPr>
            <w:r>
              <w:rPr>
                <w:b/>
                <w:bCs/>
                <w:noProof w:val="0"/>
                <w:sz w:val="28"/>
                <w:rtl/>
              </w:rPr>
              <w:t>נגד</w:t>
            </w:r>
          </w:p>
          <w:p w:rsidR="00596B8F" w:rsidRDefault="00596B8F">
            <w:pPr>
              <w:rPr>
                <w:rFonts w:ascii="Arial (W1)" w:hAnsi="Arial (W1)"/>
                <w:b/>
                <w:bCs/>
                <w:noProof w:val="0"/>
                <w:sz w:val="28"/>
                <w:szCs w:val="28"/>
                <w:rtl/>
              </w:rPr>
            </w:pPr>
          </w:p>
        </w:tc>
      </w:tr>
      <w:tr w:rsidR="00596B8F" w:rsidTr="00596B8F">
        <w:trPr>
          <w:jc w:val="center"/>
        </w:trPr>
        <w:tc>
          <w:tcPr>
            <w:tcW w:w="3249" w:type="dxa"/>
            <w:gridSpan w:val="2"/>
          </w:tcPr>
          <w:p w:rsidR="00596B8F" w:rsidRDefault="00596B8F">
            <w:pPr>
              <w:rPr>
                <w:rFonts w:ascii="Arial (W1)" w:hAnsi="Arial (W1)"/>
                <w:b/>
                <w:bCs/>
                <w:noProof w:val="0"/>
                <w:sz w:val="28"/>
                <w:szCs w:val="28"/>
              </w:rPr>
            </w:pPr>
          </w:p>
          <w:p w:rsidR="00596B8F" w:rsidRDefault="00E467B1">
            <w:pPr>
              <w:rPr>
                <w:rFonts w:ascii="Arial (W1)" w:hAnsi="Arial (W1)"/>
                <w:b/>
                <w:bCs/>
                <w:noProof w:val="0"/>
                <w:sz w:val="28"/>
                <w:szCs w:val="28"/>
                <w:rtl/>
              </w:rPr>
            </w:pPr>
            <w:sdt>
              <w:sdtPr>
                <w:rPr>
                  <w:b/>
                  <w:bCs/>
                  <w:rtl/>
                </w:rPr>
                <w:alias w:val="1184"/>
                <w:tag w:val="1184"/>
                <w:id w:val="1456984201"/>
                <w:text w:multiLine="1"/>
              </w:sdtPr>
              <w:sdtEndPr/>
              <w:sdtContent>
                <w:r w:rsidR="00596B8F">
                  <w:rPr>
                    <w:b/>
                    <w:bCs/>
                    <w:noProof w:val="0"/>
                    <w:sz w:val="28"/>
                    <w:rtl/>
                  </w:rPr>
                  <w:t>משיבים</w:t>
                </w:r>
                <w:r w:rsidR="00596B8F">
                  <w:rPr>
                    <w:b/>
                    <w:bCs/>
                    <w:noProof w:val="0"/>
                    <w:sz w:val="28"/>
                    <w:rtl/>
                  </w:rPr>
                  <w:br/>
                </w:r>
                <w:r w:rsidR="00596B8F">
                  <w:rPr>
                    <w:b/>
                    <w:bCs/>
                    <w:rtl/>
                  </w:rPr>
                  <w:br/>
                </w:r>
                <w:r w:rsidR="00596B8F">
                  <w:rPr>
                    <w:b/>
                    <w:bCs/>
                    <w:rtl/>
                  </w:rPr>
                  <w:br/>
                  <w:t xml:space="preserve">בעניין הקטינה </w:t>
                </w:r>
              </w:sdtContent>
            </w:sdt>
          </w:p>
        </w:tc>
        <w:tc>
          <w:tcPr>
            <w:tcW w:w="5571" w:type="dxa"/>
          </w:tcPr>
          <w:p w:rsidR="00596B8F" w:rsidRDefault="00596B8F">
            <w:pPr>
              <w:rPr>
                <w:rFonts w:ascii="Arial (W1)" w:hAnsi="Arial (W1)"/>
                <w:b/>
                <w:bCs/>
                <w:noProof w:val="0"/>
                <w:sz w:val="28"/>
                <w:szCs w:val="28"/>
              </w:rPr>
            </w:pPr>
          </w:p>
          <w:p w:rsidR="00596B8F" w:rsidRDefault="00E467B1">
            <w:pPr>
              <w:rPr>
                <w:rtl/>
              </w:rPr>
            </w:pPr>
            <w:sdt>
              <w:sdtPr>
                <w:rPr>
                  <w:rtl/>
                </w:rPr>
                <w:alias w:val="1571"/>
                <w:tag w:val="1571"/>
                <w:id w:val="-2101246458"/>
                <w:text w:multiLine="1"/>
              </w:sdtPr>
              <w:sdtEndPr/>
              <w:sdtContent>
                <w:r w:rsidR="00596B8F">
                  <w:rPr>
                    <w:b/>
                    <w:bCs/>
                    <w:noProof w:val="0"/>
                    <w:sz w:val="28"/>
                    <w:rtl/>
                  </w:rPr>
                  <w:t>1</w:t>
                </w:r>
              </w:sdtContent>
            </w:sdt>
            <w:r w:rsidR="00596B8F">
              <w:rPr>
                <w:b/>
                <w:bCs/>
                <w:noProof w:val="0"/>
                <w:sz w:val="28"/>
                <w:rtl/>
              </w:rPr>
              <w:t>.</w:t>
            </w:r>
            <w:sdt>
              <w:sdtPr>
                <w:rPr>
                  <w:b/>
                  <w:bCs/>
                  <w:noProof w:val="0"/>
                  <w:sz w:val="28"/>
                  <w:rtl/>
                </w:rPr>
                <w:alias w:val="1486"/>
                <w:tag w:val="1486"/>
                <w:id w:val="-212653886"/>
                <w:text w:multiLine="1"/>
              </w:sdtPr>
              <w:sdtEndPr/>
              <w:sdtContent>
                <w:r w:rsidR="00596B8F">
                  <w:rPr>
                    <w:b/>
                    <w:bCs/>
                    <w:noProof w:val="0"/>
                    <w:sz w:val="28"/>
                    <w:rtl/>
                  </w:rPr>
                  <w:t>מחלקה לשרותים חברתיים - נוף הגליל</w:t>
                </w:r>
              </w:sdtContent>
            </w:sdt>
            <w:r w:rsidR="00596B8F">
              <w:rPr>
                <w:b/>
                <w:bCs/>
                <w:noProof w:val="0"/>
                <w:sz w:val="28"/>
                <w:rtl/>
              </w:rPr>
              <w:t xml:space="preserve"> </w:t>
            </w:r>
          </w:p>
          <w:p w:rsidR="00596B8F" w:rsidRDefault="00E467B1">
            <w:pPr>
              <w:rPr>
                <w:b/>
                <w:bCs/>
                <w:noProof w:val="0"/>
                <w:sz w:val="28"/>
                <w:rtl/>
              </w:rPr>
            </w:pPr>
            <w:sdt>
              <w:sdtPr>
                <w:rPr>
                  <w:rtl/>
                </w:rPr>
                <w:alias w:val="1571"/>
                <w:tag w:val="1571"/>
                <w:id w:val="-1838372279"/>
                <w:text w:multiLine="1"/>
              </w:sdtPr>
              <w:sdtEndPr/>
              <w:sdtContent>
                <w:r w:rsidR="00596B8F">
                  <w:rPr>
                    <w:b/>
                    <w:bCs/>
                    <w:noProof w:val="0"/>
                    <w:sz w:val="28"/>
                    <w:rtl/>
                  </w:rPr>
                  <w:t>2</w:t>
                </w:r>
              </w:sdtContent>
            </w:sdt>
            <w:r w:rsidR="00596B8F">
              <w:rPr>
                <w:b/>
                <w:bCs/>
                <w:noProof w:val="0"/>
                <w:sz w:val="28"/>
                <w:rtl/>
              </w:rPr>
              <w:t>.</w:t>
            </w:r>
            <w:sdt>
              <w:sdtPr>
                <w:rPr>
                  <w:b/>
                  <w:bCs/>
                  <w:noProof w:val="0"/>
                  <w:sz w:val="28"/>
                  <w:rtl/>
                </w:rPr>
                <w:alias w:val="1486"/>
                <w:tag w:val="1486"/>
                <w:id w:val="845282924"/>
                <w:text w:multiLine="1"/>
              </w:sdtPr>
              <w:sdtEndPr/>
              <w:sdtContent>
                <w:r w:rsidR="00596B8F">
                  <w:rPr>
                    <w:b/>
                    <w:bCs/>
                    <w:noProof w:val="0"/>
                    <w:sz w:val="28"/>
                    <w:rtl/>
                  </w:rPr>
                  <w:t>היועץ המשפטי לממשלה</w:t>
                </w:r>
              </w:sdtContent>
            </w:sdt>
            <w:r w:rsidR="00596B8F">
              <w:rPr>
                <w:b/>
                <w:bCs/>
                <w:noProof w:val="0"/>
                <w:sz w:val="28"/>
                <w:rtl/>
              </w:rPr>
              <w:t xml:space="preserve"> – במשרד הרווחה</w:t>
            </w:r>
          </w:p>
          <w:p w:rsidR="00596B8F" w:rsidRDefault="00596B8F">
            <w:pPr>
              <w:rPr>
                <w:b/>
                <w:bCs/>
                <w:noProof w:val="0"/>
                <w:sz w:val="28"/>
                <w:rtl/>
              </w:rPr>
            </w:pPr>
          </w:p>
          <w:p w:rsidR="00596B8F" w:rsidRDefault="00E467B1" w:rsidP="00E16D94">
            <w:pPr>
              <w:rPr>
                <w:rFonts w:ascii="Arial (W1)" w:hAnsi="Arial (W1)"/>
                <w:b/>
                <w:bCs/>
                <w:noProof w:val="0"/>
                <w:sz w:val="28"/>
                <w:szCs w:val="28"/>
              </w:rPr>
            </w:pPr>
            <w:sdt>
              <w:sdtPr>
                <w:rPr>
                  <w:b/>
                  <w:bCs/>
                  <w:noProof w:val="0"/>
                  <w:sz w:val="28"/>
                  <w:rtl/>
                </w:rPr>
                <w:alias w:val="1486"/>
                <w:tag w:val="1486"/>
                <w:id w:val="224734218"/>
                <w:text w:multiLine="1"/>
              </w:sdtPr>
              <w:sdtEndPr/>
              <w:sdtContent>
                <w:r w:rsidR="00E16D94">
                  <w:rPr>
                    <w:rFonts w:hint="cs"/>
                    <w:b/>
                    <w:bCs/>
                    <w:noProof w:val="0"/>
                    <w:sz w:val="28"/>
                    <w:rtl/>
                  </w:rPr>
                  <w:t xml:space="preserve">אלמונית </w:t>
                </w:r>
              </w:sdtContent>
            </w:sdt>
            <w:r w:rsidR="00596B8F">
              <w:rPr>
                <w:rtl/>
              </w:rPr>
              <w:t xml:space="preserve"> </w:t>
            </w:r>
            <w:r w:rsidR="00596B8F">
              <w:rPr>
                <w:rFonts w:ascii="Arial" w:hAnsi="Arial"/>
                <w:b/>
                <w:bCs/>
                <w:noProof w:val="0"/>
                <w:rtl/>
              </w:rPr>
              <w:t>ת.ל.  29/5/2015</w:t>
            </w:r>
          </w:p>
          <w:p w:rsidR="00596B8F" w:rsidRDefault="00596B8F">
            <w:pPr>
              <w:rPr>
                <w:rFonts w:ascii="Arial (W1)" w:hAnsi="Arial (W1)"/>
                <w:noProof w:val="0"/>
                <w:rtl/>
              </w:rPr>
            </w:pPr>
            <w:r>
              <w:rPr>
                <w:rFonts w:ascii="Arial (W1)" w:hAnsi="Arial (W1)"/>
                <w:noProof w:val="0"/>
                <w:sz w:val="26"/>
                <w:rtl/>
              </w:rPr>
              <w:t>ע</w:t>
            </w:r>
            <w:r>
              <w:rPr>
                <w:rFonts w:ascii="Arial (W1)" w:hAnsi="Arial (W1)"/>
                <w:noProof w:val="0"/>
                <w:rtl/>
              </w:rPr>
              <w:t>"י אפוטרופוס לדין – עוה"ד גלית ביטון לנקרי</w:t>
            </w:r>
          </w:p>
          <w:p w:rsidR="00596B8F" w:rsidRDefault="00596B8F">
            <w:pPr>
              <w:rPr>
                <w:rFonts w:ascii="Arial (W1)" w:hAnsi="Arial (W1)"/>
                <w:b/>
                <w:bCs/>
                <w:noProof w:val="0"/>
                <w:sz w:val="28"/>
                <w:szCs w:val="28"/>
                <w:rtl/>
              </w:rPr>
            </w:pPr>
            <w:r>
              <w:rPr>
                <w:rFonts w:ascii="Arial (W1)" w:hAnsi="Arial (W1)"/>
                <w:noProof w:val="0"/>
                <w:rtl/>
              </w:rPr>
              <w:t>מטעם הלשכה לסיוע משפטי</w:t>
            </w:r>
          </w:p>
        </w:tc>
      </w:tr>
    </w:tbl>
    <w:p w:rsidR="00596B8F" w:rsidRDefault="00E16D94" w:rsidP="00E16D94">
      <w:pPr>
        <w:suppressLineNumbers/>
        <w:tabs>
          <w:tab w:val="left" w:pos="2565"/>
        </w:tabs>
      </w:pPr>
      <w:r>
        <w:rPr>
          <w:rtl/>
        </w:rPr>
        <w:tab/>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96B8F" w:rsidTr="00596B8F">
        <w:trPr>
          <w:jc w:val="center"/>
        </w:trPr>
        <w:tc>
          <w:tcPr>
            <w:tcW w:w="8820" w:type="dxa"/>
            <w:hideMark/>
          </w:tcPr>
          <w:p w:rsidR="00596B8F" w:rsidRDefault="00596B8F">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596B8F" w:rsidRDefault="00596B8F" w:rsidP="00596B8F">
      <w:pPr>
        <w:spacing w:line="360" w:lineRule="auto"/>
        <w:jc w:val="both"/>
        <w:rPr>
          <w:rFonts w:ascii="Arial" w:hAnsi="Arial"/>
          <w:noProof w:val="0"/>
        </w:rPr>
      </w:pPr>
    </w:p>
    <w:p w:rsidR="00596B8F" w:rsidRDefault="00596B8F" w:rsidP="00596B8F">
      <w:pPr>
        <w:spacing w:line="360" w:lineRule="auto"/>
        <w:jc w:val="both"/>
        <w:rPr>
          <w:rFonts w:ascii="Arial" w:hAnsi="Arial"/>
          <w:noProof w:val="0"/>
          <w:rtl/>
        </w:rPr>
      </w:pPr>
      <w:r>
        <w:rPr>
          <w:rFonts w:ascii="Arial" w:hAnsi="Arial"/>
          <w:b/>
          <w:bCs/>
          <w:noProof w:val="0"/>
          <w:rtl/>
        </w:rPr>
        <w:t>השאלה</w:t>
      </w:r>
      <w:r>
        <w:rPr>
          <w:rFonts w:ascii="Arial" w:hAnsi="Arial"/>
          <w:noProof w:val="0"/>
          <w:rtl/>
        </w:rPr>
        <w:t>: האם יש לקבל ערעור על החלטת בית משפט לנוער בדבר הפסקת מפגשים בין סבים לבין קטינה השוהה במשפחת אומנה?</w:t>
      </w:r>
    </w:p>
    <w:p w:rsidR="00596B8F" w:rsidRDefault="00596B8F" w:rsidP="00596B8F">
      <w:pPr>
        <w:spacing w:line="360" w:lineRule="auto"/>
        <w:jc w:val="both"/>
        <w:rPr>
          <w:rFonts w:ascii="Arial" w:hAnsi="Arial"/>
          <w:noProof w:val="0"/>
          <w:rtl/>
        </w:rPr>
      </w:pPr>
    </w:p>
    <w:p w:rsidR="00596B8F" w:rsidRDefault="00596B8F" w:rsidP="00596B8F">
      <w:pPr>
        <w:spacing w:line="360" w:lineRule="auto"/>
        <w:jc w:val="both"/>
        <w:rPr>
          <w:rFonts w:ascii="Arial" w:hAnsi="Arial"/>
          <w:noProof w:val="0"/>
          <w:rtl/>
        </w:rPr>
      </w:pPr>
      <w:r>
        <w:rPr>
          <w:rFonts w:ascii="Arial" w:hAnsi="Arial"/>
          <w:b/>
          <w:bCs/>
          <w:noProof w:val="0"/>
          <w:rtl/>
        </w:rPr>
        <w:t>העובדות הרלבנטיות לערעור</w:t>
      </w:r>
      <w:r>
        <w:rPr>
          <w:rFonts w:ascii="Arial" w:hAnsi="Arial"/>
          <w:noProof w:val="0"/>
          <w:rtl/>
        </w:rPr>
        <w:t>:</w:t>
      </w:r>
    </w:p>
    <w:p w:rsidR="00596B8F" w:rsidRDefault="00596B8F" w:rsidP="00596B8F">
      <w:pPr>
        <w:pStyle w:val="ad"/>
        <w:numPr>
          <w:ilvl w:val="0"/>
          <w:numId w:val="1"/>
        </w:numPr>
        <w:spacing w:line="360" w:lineRule="auto"/>
        <w:jc w:val="both"/>
        <w:rPr>
          <w:rFonts w:ascii="Arial" w:hAnsi="Arial"/>
          <w:noProof w:val="0"/>
          <w:rtl/>
        </w:rPr>
      </w:pPr>
      <w:r>
        <w:rPr>
          <w:rFonts w:ascii="Arial" w:hAnsi="Arial"/>
          <w:noProof w:val="0"/>
          <w:rtl/>
        </w:rPr>
        <w:t>בעניינה של הקטינה (ואחיה) מתנהלים הליכי נזקקות בבית המשפט לנוער בנצרת כשש שנים וחצי, כמעט מאז לידתה והיא הוכרזה כקטינה נזקקת. נעשו נסיונות לנקוט בדרכי טיפול בקהילה, ברם הם לא צלחו ובסופו של יום ניתנה הוראה על הוצאתה ממשמורת אמה ביום 10/11/2019.</w:t>
      </w:r>
    </w:p>
    <w:p w:rsidR="00596B8F" w:rsidRDefault="00596B8F" w:rsidP="000411A3">
      <w:pPr>
        <w:pStyle w:val="ad"/>
        <w:numPr>
          <w:ilvl w:val="0"/>
          <w:numId w:val="1"/>
        </w:numPr>
        <w:spacing w:line="360" w:lineRule="auto"/>
        <w:jc w:val="both"/>
        <w:rPr>
          <w:rFonts w:ascii="Arial" w:hAnsi="Arial"/>
          <w:noProof w:val="0"/>
        </w:rPr>
      </w:pPr>
      <w:r>
        <w:rPr>
          <w:rFonts w:ascii="Arial" w:hAnsi="Arial"/>
          <w:noProof w:val="0"/>
          <w:rtl/>
        </w:rPr>
        <w:t>ביום 2/1/2020 נמצאה משפחת אומנה חסויה, אך סידור זה לא צלח ולאחר שנתיים, הועבר אחיה הגדול של הקטינה למסגרת חוץ ביתית ואילו הקטינה הועברה למשפחת אומנה אחרת אצלה היא שוהה וגדלה עד היום.</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ביום 28/7/2021 נערכת לאם בדיקת מסוגלות הורית שקבעה כי ייטב לקטינים לשהות במסגרת חוץ ביתית, שכן יכולותיה ההוריות חלקיות והיא לא תעמוד בהצלחה באתגרים של גידול שני הילדים שהוצאו ממשמורתה לצד גידול ילדים צעירים שנולדו לה בינתיים אותם היא מגדלת עם בן זוגה הנוכחי. יוער כי אותן בן זוג נחשד בביצוע עבירת מין באחיה של הקטינה.</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במשך 6 חודשים מאז נקלטה הקטינה אצל משפחת האומנה השנייה לא התקיימו מפגשים עם האם והיא התאקלמה אט אט אצל משפחת האומנה והחלה להסתגל למציאות החדשה.</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lastRenderedPageBreak/>
        <w:t>לאחר מכן חודשו המפגשים בין האם לבין הקטינה ולימים הצטרפו הסבים של הקטינה מצד האם למפגשים אלה. בצד מפגשים פיזיים במרכז הקשר התקיימו גם שיחות זום בין הקטינה לבין אמה והוריה.</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ביום 28/7/2022 התקיימה ועדת תכנון טיפול בה התגלעו מחלוקות בין גורמי הטיפול השונים לאפוט' באשר להמשך דרכי הטיפול בקטינה. האפוט' לדין ביקשה כי ב"כ היועמ"ש יפעל לפתיחת הליך בת אימוץ בעניין הקטינה כדי להבטיח לה בית ומשפחה קבועה וכן להפסקת המפגשים עם האם והסבים ואילו גורמי הטיפול סברו שאין מקום לנקוט בהליך שכזה. האפוט' לדין עתרה כבר אז לצמצום המפגשים בין הקטינה לבין אמה כך שיתקיימו אחת לחודש ולהפסקת המפגשים בין הקטינה לבין הסבים עד להטבה במצבה הרגשי של הקטינה (בקשה מיום 8/8/2022).</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ביום 28/8/2022 נדרש בית משפט קמא לבקשת צמצום מפגשים עם האם והפסקת המפגשים עם הסבים, סקר את השתלשלות העניינים בעניינה של הקטינה וכן בחן בקשות קודמות שהוגשו בעניין מפגשים בין הקטינה לבין האם ובין הקטינה לבין הסבים. בסעיף 14 להחלטה צוין כי מדו"ח שירות האומנה עלה כי מתכונת המפגשים בין הקטינה לבין אמה גורמת להחמרה משמעותית במצבה הרגשי, הנפשי וההתנהגותי וההמלצה הייתה לצמצום הקשר עם המשפחה הביולוגית לאחת לחודש. עוד נדרש בית משפט לנוער לטענות ב"כ המערערת לפיהן אין מקום להידרש לבקשת האפוט' לדין שעה שהעניין אמור להתברר בפני ועדה מחוזית של גורמי הטיפול. בסופו של יום קיבל בימ"ש לנוער את עמדת העו"ס לחוק הנוער, צמצם המפגשים עם האם למפגש פרונטלי אחת לחודש, ובין מפגש למפגש קבע ישיבת זום. עוד נקבע כי אחת לחודשיים רשאים הסבים להצטרף למפגש הפרונטלי. הנימוק לכך היה החשש של בית משפט לנוער מהחמרה במצבה הרגשי וקשיי קליטה אצל משפחת האומנה בשל הקשר עם המשפחה הביולוגית, כמו גם מורכבותה של הקטינה על רקע המעברים מבית לבית.</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בדיון מיום 19/1/2023 עתר ב"כ האם להרחבת זמני שהות של הקטינה עם אמה והסבים והבקשה נדחתה.</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ביום 13/7/2023 התכנסה ועדת תכנון טיפול במסגרתה ביקשה האפוט' לדין להורות על ביטול המפגשים של הקטינה עם הסבים באופן זמני עד להטבה במצבה בשל החמרה שחלה, על פי הנטען מטעם שירותי האומנה, בשל הקשר שבין הקטינה לבין הסבים. ועדה זו החליטה  כי תתכנס ועדה מחוזית שתבחן סוגיית אומנה לטווח ארוך אל מול חלופת נקיטת הליכי אימוץ.</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בתווך, יש לציין כי הסבים מצד האם ביקשו להכיר בהם כאומנת קרובים, ברם בקשתם לקבל רישיון אומנה נדחה ביום 5/7/2023 נוכח הקושי שלהם לשתף פעולה עם גורמי הטיפול וכן נוכח פערים במידע שנמסר על ידם לעומת המידע שנמסר מגורמי הטיפול. על החלטה זו הוגש ערר שטרם נדון או הוכרע.</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lastRenderedPageBreak/>
        <w:t>ביום 17/8/2023 עתרה האפוט' לדין להפסקת המפגשים בין הקטינה לבין הסבים. עיקר הטיעון היה הימצאותה של הקטינה בקונפליקט נאמנויות בלתי נסבל מבחינתה בין רצונה להשתייך למשפחת האומנה לבין מסרים מסיתים של המשפחה הביולוגית. ההסתה והמסרים באים לידי ביטוי לעתים באופן מילולי ולעתים בתנועות גוף והבעות פנים כאשר עו"ס מרכז הקשר אינה מצליחה להציב גבולות בפני המשפחה הביולוגית בתוך חדר הקשר. מצבה של הקטינה נמצא ברגרסיה ועל כן ועד להטבה והתייצבות של מצבה הרגשי סברה האפוט' לדין שיש להורות על הפסקת המפגשים בין הקטינה לבין הסבים.</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ביום 12/9/2023 התקיים דיון בבקשה בו נשמעו עמדות האפוט' לדין, העו"ס לחוק הנוער, הסבים וב"כ האם.</w:t>
      </w:r>
    </w:p>
    <w:p w:rsidR="00596B8F" w:rsidRDefault="00596B8F" w:rsidP="00596B8F">
      <w:pPr>
        <w:spacing w:line="360" w:lineRule="auto"/>
        <w:jc w:val="both"/>
        <w:rPr>
          <w:rFonts w:ascii="Arial" w:hAnsi="Arial"/>
          <w:noProof w:val="0"/>
          <w:rtl/>
        </w:rPr>
      </w:pPr>
    </w:p>
    <w:p w:rsidR="00596B8F" w:rsidRDefault="00596B8F" w:rsidP="00596B8F">
      <w:pPr>
        <w:spacing w:line="360" w:lineRule="auto"/>
        <w:jc w:val="both"/>
        <w:rPr>
          <w:rFonts w:ascii="Arial" w:hAnsi="Arial"/>
          <w:b/>
          <w:bCs/>
          <w:noProof w:val="0"/>
          <w:rtl/>
        </w:rPr>
      </w:pPr>
      <w:r>
        <w:rPr>
          <w:rFonts w:ascii="Arial" w:hAnsi="Arial"/>
          <w:b/>
          <w:bCs/>
          <w:noProof w:val="0"/>
          <w:rtl/>
        </w:rPr>
        <w:t>ההחלטה מושא הערעור:</w:t>
      </w:r>
    </w:p>
    <w:p w:rsidR="00596B8F" w:rsidRDefault="00596B8F" w:rsidP="00596B8F">
      <w:pPr>
        <w:spacing w:line="360" w:lineRule="auto"/>
        <w:jc w:val="both"/>
        <w:rPr>
          <w:rFonts w:ascii="Arial" w:hAnsi="Arial"/>
          <w:noProof w:val="0"/>
          <w:rtl/>
        </w:rPr>
      </w:pPr>
    </w:p>
    <w:p w:rsidR="00596B8F" w:rsidRDefault="00596B8F" w:rsidP="00596B8F">
      <w:pPr>
        <w:pStyle w:val="ad"/>
        <w:numPr>
          <w:ilvl w:val="0"/>
          <w:numId w:val="1"/>
        </w:numPr>
        <w:spacing w:line="360" w:lineRule="auto"/>
        <w:jc w:val="both"/>
        <w:rPr>
          <w:rFonts w:ascii="Arial" w:hAnsi="Arial"/>
          <w:noProof w:val="0"/>
          <w:rtl/>
        </w:rPr>
      </w:pPr>
      <w:r>
        <w:rPr>
          <w:rFonts w:ascii="Arial" w:hAnsi="Arial"/>
          <w:noProof w:val="0"/>
          <w:rtl/>
        </w:rPr>
        <w:t>ביום 14/9/2023 ניתנה החלטת בית משפט קמא ומושא הערעור. החלטת בית המשפט נפרשת על פני 8 עמודים בהם שב בית המשפט קמא וחזר על השתלשלות העניינים הנוגעת לחייה של הקטינה, המעברים, קשיי ההסתגלות וכן ניתנה התייחסות לקשר בין הקטינה לבין אמה והסבים. בסופה של ההחלטה קיבלה בימ"ש קמא את עמדת האפוט' לדין והורה על הפסקה של המפגשים עם הקטינה.</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בית משפט קמא הטיל ספק אם יש לראות בסבים מצד האם "אנשים משמעותיים" בחייה של הקטינה כיוון שלא התגייסו למען הקטינה בתקופה הקריטית בה הוצאה ממשמורת האם ובשים לב להתנהלותם במהלך ההליך.</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בימ"ש קמא סבר שאינדיקציות לגבי מצבה של הקטינה יש לקבל ממי שעומד דרך קבע בקשר עמה, רואה וחומל כגון הורי האמנה, עו"ס האמנה, והאפוטרופא לדין – כאשר כל הגורמים הללו תומכים בקול צלול ורם כי יש להפסיק המפגשים בין הקטינה לבין הסבים. (סעיף 22 להחלטה מושא הערעור).</w:t>
      </w:r>
    </w:p>
    <w:p w:rsidR="00596B8F" w:rsidRDefault="00596B8F" w:rsidP="003756FD">
      <w:pPr>
        <w:pStyle w:val="ad"/>
        <w:numPr>
          <w:ilvl w:val="0"/>
          <w:numId w:val="1"/>
        </w:numPr>
        <w:spacing w:line="360" w:lineRule="auto"/>
        <w:jc w:val="both"/>
        <w:rPr>
          <w:rFonts w:ascii="Arial" w:hAnsi="Arial"/>
          <w:noProof w:val="0"/>
        </w:rPr>
      </w:pPr>
      <w:r>
        <w:rPr>
          <w:rFonts w:ascii="Arial" w:hAnsi="Arial"/>
          <w:noProof w:val="0"/>
          <w:rtl/>
        </w:rPr>
        <w:t>בימ"ש קמא דחה טענות ב"כ המערערת לעניין מהימנות דיווחי מרכז הקשר (בטיעון שהסבים לא מתקשרים בעברית אלא ברוסית בלבד). נקבע כי הסבים מתקשרים חלקית בעברית ומעבר לכך מתקשרים בשפה אוניברסלית, תנועות גוף ופנים, הבעות וטון דיבור וכל אלה יכול וייקלטו על ידי עו"ס מרכז הקשר וחמור מכך יופנמו בחושי ורגשותיה של הקטינה ויעמיסו עליה משא נוסף שתתקשה להתמודד עמו.</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בימ"ש קמא סיכם כי לאורך השנים מתקיימים מפגשים בין הקטינה לבין משפחתה במרכז הקשר בשל הצורך המתמיד בפיקוח וליווי ונוכח אירועים חריגים תדירים המתרחשים במהלך המפגשים, כאשר דיווחים ספציפיים אודות מפגשים פוגעניים בין הסבים לבין הקטינה הונחו כבר מחודש יוני 2022 והוצגו בפני בני המשפחה.</w:t>
      </w:r>
    </w:p>
    <w:p w:rsidR="00596B8F" w:rsidRDefault="00596B8F" w:rsidP="003756FD">
      <w:pPr>
        <w:pStyle w:val="ad"/>
        <w:numPr>
          <w:ilvl w:val="0"/>
          <w:numId w:val="1"/>
        </w:numPr>
        <w:spacing w:line="360" w:lineRule="auto"/>
        <w:jc w:val="both"/>
        <w:rPr>
          <w:rFonts w:ascii="Arial" w:hAnsi="Arial"/>
          <w:noProof w:val="0"/>
        </w:rPr>
      </w:pPr>
      <w:r>
        <w:rPr>
          <w:rFonts w:ascii="Arial" w:hAnsi="Arial"/>
          <w:noProof w:val="0"/>
          <w:rtl/>
        </w:rPr>
        <w:lastRenderedPageBreak/>
        <w:t xml:space="preserve">עוד נקבע כי בית המשפט סבר כי ככל שיונח עדכון בדבר קבלת הערר של הסבים של אי קבלת רישיון אמנת קרובים, יונח עדכון מתאים ויחל הליך הדרגתי לחידוש קשר. </w:t>
      </w:r>
      <w:r w:rsidR="003756FD">
        <w:rPr>
          <w:rFonts w:ascii="Arial" w:hAnsi="Arial" w:hint="cs"/>
          <w:noProof w:val="0"/>
          <w:rtl/>
        </w:rPr>
        <w:t>ע</w:t>
      </w:r>
      <w:r>
        <w:rPr>
          <w:rFonts w:ascii="Arial" w:hAnsi="Arial"/>
          <w:noProof w:val="0"/>
          <w:rtl/>
        </w:rPr>
        <w:t>ם זאת אף אם בקשתם תידחה, תוצע בחינה נוספת של חידוש הקשר בתוך תקופה של 3 חודשים נוספים וזאת בשים לב לרצונה ומצבה הרגשי של הקטינה.</w:t>
      </w:r>
    </w:p>
    <w:p w:rsidR="00596B8F" w:rsidRDefault="00596B8F" w:rsidP="00596B8F">
      <w:pPr>
        <w:spacing w:line="360" w:lineRule="auto"/>
        <w:jc w:val="both"/>
        <w:rPr>
          <w:rFonts w:ascii="Arial" w:hAnsi="Arial"/>
          <w:noProof w:val="0"/>
          <w:rtl/>
        </w:rPr>
      </w:pPr>
    </w:p>
    <w:p w:rsidR="00596B8F" w:rsidRDefault="00596B8F" w:rsidP="00596B8F">
      <w:pPr>
        <w:spacing w:line="360" w:lineRule="auto"/>
        <w:jc w:val="both"/>
        <w:rPr>
          <w:rFonts w:ascii="Arial" w:hAnsi="Arial"/>
          <w:b/>
          <w:bCs/>
          <w:noProof w:val="0"/>
          <w:rtl/>
        </w:rPr>
      </w:pPr>
      <w:r>
        <w:rPr>
          <w:rFonts w:ascii="Arial" w:hAnsi="Arial"/>
          <w:b/>
          <w:bCs/>
          <w:noProof w:val="0"/>
          <w:rtl/>
        </w:rPr>
        <w:t>דיון והכרעה:</w:t>
      </w:r>
    </w:p>
    <w:p w:rsidR="00596B8F" w:rsidRDefault="00596B8F" w:rsidP="00596B8F">
      <w:pPr>
        <w:pStyle w:val="ad"/>
        <w:numPr>
          <w:ilvl w:val="0"/>
          <w:numId w:val="1"/>
        </w:numPr>
        <w:spacing w:line="360" w:lineRule="auto"/>
        <w:jc w:val="both"/>
        <w:rPr>
          <w:rFonts w:ascii="Arial" w:hAnsi="Arial"/>
          <w:noProof w:val="0"/>
          <w:rtl/>
        </w:rPr>
      </w:pPr>
      <w:r>
        <w:rPr>
          <w:rFonts w:ascii="Arial" w:hAnsi="Arial"/>
          <w:noProof w:val="0"/>
          <w:rtl/>
        </w:rPr>
        <w:t>בטרם דיון בטענות הצדדים אציין, כי דחיתי בקשת עיכוב ביצוע שהגישה המערערת ביום 19/9/23 ללא צורך בתגובה תוך שציינתי כי ייתכן והפסקה זמנית של הקשר בין הסבים לבין הקטינה תאפשר לבחון על פני ציר הזמן האם זהו אכן הגורם המקשה על הסתגלות הקטינה למשפחת האומנה או להסדר האומנה. עוד נתתי ביטוי בהחלטתי זו לאמון שיש ליתן בבית משפט קמא המכיר את הקטינה ואת הצדדים משך שנים במספר רב של הליכים, בקשות ודיונים ועל כן יש לו יתרון עצום על פני ערכאת הערעור בכל הנוגע להיכרות ולהתרשמות מהצדדים.</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לאחר הגשת הערעור נדחה הדיון מפעם לפעם בשל מצב החירום ולבסוף התקיים ביום 31/10/23. במהלך הדיון שמעתי ארוכות את טענות הצדדים. כן הוגשו לאחר הערעור מסמכים מעדכנים מטעם העו"ס לחוק הנוער ומטעם האפוט' לדין.</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יצוין, כי באופן חריג, בערעור שלפניי, ב"כ היועמ"ש והעו"ס לחוק הנוער עומדים לימין המערערת והצטרפו לעתירה לבטל את החלטת בית משפט קמא, בעוד האפוט' לדין סברה שאין כל מקום להתערב בה.</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ב"כ המערערת טען כי החלטת בית משפט קמא אינה מפורטת דיה ואין הסבר של ממש מדוע הופסקו המפגשים בין הסבים לבין הקטינה וכי בית המשפט קמא נדרש לניסיון העבר ולא הסביר מהו נסיון העבר שיש לו עם הקטינה ועם הסבים. הוא מוסיף, כי על בית המשפט קמא היה להמתין להתכנסות ועדה מקצועית מחוזית שתידרש לסוגיית הקשר של הסבים עם הקטינה ולא לקבל ההחלטה בטרם התכנסות ועדה זו. כן נטען כי לא היה מקום ליתן אמון בדיווחי מרכז הקשר שכן האינטראקציה בין הקטינה לבין הסבים נעשית ברוסית ולמרות בקשת המשפחה אין מתורגמן במרכז הקשר ולכן העו"ס אינה יכולה להעיד על התכנים של הדברים שמועברים מהסבים לקטינה בעניין משפחת האומנה ובכלל. כן נטען כי אין הוכחה שהאינטראקציה בין הסבים לבין הקטינה הוא הגורם המקשה על מצבה הרגשי ועל הסתגלותה למשפחת האומנה. לדבריו של ב"כ האם, מצבה של הקטינה מידרדר ומורע ללא קשר לאינטראקציה בינה לבין הסבים. עוד נטען כי הסבים אינם מודרכים לפני המפגשים עם הקטינה ואין להאשים אותם בכעסם על גורמי הרווחה והמערכת. לבסוף נטען כי יש צורך בחוות דעת מקצועית אובייקטיבית שתבחן האינטראקציה בין הסבים לבין הקטינה ותוכל להנחות את בית המשפט בעניין הקשר ביניהם</w:t>
      </w:r>
    </w:p>
    <w:p w:rsidR="00596B8F" w:rsidRDefault="00596B8F" w:rsidP="00F26B9C">
      <w:pPr>
        <w:pStyle w:val="ad"/>
        <w:numPr>
          <w:ilvl w:val="0"/>
          <w:numId w:val="1"/>
        </w:numPr>
        <w:spacing w:line="360" w:lineRule="auto"/>
        <w:jc w:val="both"/>
        <w:rPr>
          <w:rFonts w:ascii="Arial" w:hAnsi="Arial"/>
          <w:noProof w:val="0"/>
        </w:rPr>
      </w:pPr>
      <w:r>
        <w:rPr>
          <w:rFonts w:ascii="Arial" w:hAnsi="Arial"/>
          <w:noProof w:val="0"/>
          <w:rtl/>
        </w:rPr>
        <w:lastRenderedPageBreak/>
        <w:t xml:space="preserve">ב"כ היועמ"ש טענה כי החלטת בית משפט קמא שגויה משלושה טעמים: ראשית, </w:t>
      </w:r>
      <w:r w:rsidR="00F26B9C">
        <w:rPr>
          <w:rFonts w:ascii="Arial" w:hAnsi="Arial" w:hint="cs"/>
          <w:noProof w:val="0"/>
          <w:rtl/>
        </w:rPr>
        <w:t>אין</w:t>
      </w:r>
      <w:r w:rsidRPr="00E14326">
        <w:rPr>
          <w:rFonts w:ascii="Arial" w:hAnsi="Arial"/>
          <w:noProof w:val="0"/>
          <w:color w:val="FF0000"/>
          <w:rtl/>
        </w:rPr>
        <w:t xml:space="preserve"> </w:t>
      </w:r>
      <w:r>
        <w:rPr>
          <w:rFonts w:ascii="Arial" w:hAnsi="Arial"/>
          <w:noProof w:val="0"/>
          <w:rtl/>
        </w:rPr>
        <w:t>קשר בין החלטת הממונה על רישוי אומנה לבין הפסקת המפגשים בין הסבים לבין הקטינה. שנית, בימ"ש קמא החליט על הפסקה מוחלטת של המפגשים בין הקטינה לבין הסבים כאשר מדובר בהכרעה טיפולית המנוגדת לעמדת גורמי הטיפול וכי המלצת ועדת תכנון טיפול הייתה שלא לנתק הקשר עם הסבים. שלישית, בית משפט קמא סטה מהמלצות תסקיר עו"ס לחוק הנוער שיש לראות בה כחוות דעת מומחית.</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האפוט' לדין טענה מנגד, כי החלטת בית משפט קמא מתיישבת היטב עם טובת הקטינה, כי אמנם חלה הרעה מסוימת במצבה הרגשי אך יש לקשור אותה למצב המלחמה המדינה ולא להפסקת הקשר עם הסבים. עוד נטען כי היא כלל לא מבטאת רצון לפגוש בסבים. היא הצביעה על הקונפליקט הנובע מרצון הסבים לקבל הקטינה אליהם כאומנת קרובים אל מול הצורך של הקטינה לחוש בטחון ויציבות במשפחת האומנה הנוכחית. כן הוסבר כי התמודדות משפחת האומנה עם הקטינה הינה מורכבת וההחלטה של בימ"ש קמא יכולה לסייע בהתמודדות זו ובכך לאפשר לקטינה להיקלט למקום בטוח ומכיל.</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סבורני</w:t>
      </w:r>
      <w:r w:rsidR="00F26B9C">
        <w:rPr>
          <w:rFonts w:ascii="Arial" w:hAnsi="Arial" w:hint="cs"/>
          <w:noProof w:val="0"/>
          <w:rtl/>
        </w:rPr>
        <w:t>,</w:t>
      </w:r>
      <w:r>
        <w:rPr>
          <w:rFonts w:ascii="Arial" w:hAnsi="Arial"/>
          <w:noProof w:val="0"/>
          <w:rtl/>
        </w:rPr>
        <w:t xml:space="preserve"> כי </w:t>
      </w:r>
      <w:r w:rsidRPr="000661D3">
        <w:rPr>
          <w:rFonts w:ascii="Arial" w:hAnsi="Arial"/>
          <w:b/>
          <w:bCs/>
          <w:noProof w:val="0"/>
          <w:rtl/>
        </w:rPr>
        <w:t>לא נפל רבב בהחלטת בית משפט קמא</w:t>
      </w:r>
      <w:r>
        <w:rPr>
          <w:rFonts w:ascii="Arial" w:hAnsi="Arial"/>
          <w:noProof w:val="0"/>
          <w:rtl/>
        </w:rPr>
        <w:t xml:space="preserve"> ולא היה כל מקום להגיש הערעור ולא כל שכן להצטרף אליו (על ידי ב"כ היועמ"ש). יחד עם זאת והגם שהערעור יידחה, סבורני כי הגיעה השעה שימונה גורם מקצועי על ידי בימ"ש קמא לבחון את סוגיית הקשר והאינטראקציה בין הסבים לבין הקטינה ואשר יוכל לסייע לו בהמשך הדרך בקבלת החלטה מתאימה. אסביר כעת הטעמים לקביעותיי.</w:t>
      </w:r>
    </w:p>
    <w:p w:rsidR="00596B8F" w:rsidRDefault="00596B8F" w:rsidP="00596B8F">
      <w:pPr>
        <w:pStyle w:val="ad"/>
        <w:numPr>
          <w:ilvl w:val="0"/>
          <w:numId w:val="1"/>
        </w:numPr>
        <w:spacing w:line="360" w:lineRule="auto"/>
        <w:jc w:val="both"/>
        <w:rPr>
          <w:rFonts w:ascii="David" w:hAnsi="David"/>
          <w:b/>
          <w:bCs/>
          <w:noProof w:val="0"/>
        </w:rPr>
      </w:pPr>
      <w:r>
        <w:rPr>
          <w:rFonts w:ascii="David" w:hAnsi="David"/>
          <w:color w:val="000000"/>
          <w:rtl/>
        </w:rPr>
        <w:t>אין ספק שבדרך כלל כאשר סבים היו מעורבים בגידולו של נכד והיו בקשר קרוב עמו מאז לידתו וככל שהיה ביניהם קשר מיטיב, הרי שלקשר זה חשיבות עצומה להתפחותו של הילד ועל גורמי הטיפול ובתי המשפט לפעול כדי לשמר ולטפח קשר שכזה. אך המבחן הוא כאמור השאלה אם הקשר מיטיב. הבחינה שצריכה להיעשות בהקשר זה צריכה להיות מתוך נקודת המבט של טובת הילד ולא נקודת המבט של הסבים (ראו והשוו באספקלריה חמורה יותר של הליך אימוץ</w:t>
      </w:r>
      <w:r>
        <w:rPr>
          <w:rFonts w:ascii="David" w:hAnsi="David"/>
          <w:b/>
          <w:bCs/>
          <w:noProof w:val="0"/>
          <w:rtl/>
        </w:rPr>
        <w:t xml:space="preserve"> </w:t>
      </w:r>
      <w:r>
        <w:rPr>
          <w:rFonts w:ascii="David" w:hAnsi="David"/>
          <w:color w:val="000000"/>
          <w:rtl/>
        </w:rPr>
        <w:t>בבע"מ 4486/13 ‏</w:t>
      </w:r>
      <w:r>
        <w:rPr>
          <w:rFonts w:ascii="David" w:hAnsi="David"/>
          <w:b/>
          <w:bCs/>
          <w:color w:val="000000"/>
          <w:rtl/>
        </w:rPr>
        <w:t xml:space="preserve">פלונית נ' היועץ המשפטי לממשלה משרד הרווחה והשירותים החברתיים </w:t>
      </w:r>
      <w:r>
        <w:rPr>
          <w:rFonts w:ascii="David" w:hAnsi="David"/>
          <w:color w:val="000000"/>
          <w:rtl/>
        </w:rPr>
        <w:t>(נבו 27.8.2013)).</w:t>
      </w:r>
    </w:p>
    <w:p w:rsidR="00596B8F" w:rsidRDefault="00596B8F" w:rsidP="00596B8F">
      <w:pPr>
        <w:pStyle w:val="ad"/>
        <w:numPr>
          <w:ilvl w:val="0"/>
          <w:numId w:val="1"/>
        </w:numPr>
        <w:spacing w:line="360" w:lineRule="auto"/>
        <w:jc w:val="both"/>
        <w:rPr>
          <w:rFonts w:ascii="David" w:hAnsi="David"/>
          <w:b/>
          <w:bCs/>
          <w:noProof w:val="0"/>
        </w:rPr>
      </w:pPr>
      <w:r>
        <w:rPr>
          <w:rFonts w:ascii="David" w:hAnsi="David"/>
          <w:color w:val="000000"/>
          <w:rtl/>
        </w:rPr>
        <w:t>זכויות הסבים, רצונם ואינטרסיהם נלקחים בחשבון על ידי בית המשפט, אך משקלם הסגולי נמוך משמעותית ממשקל טובת הילד.</w:t>
      </w:r>
    </w:p>
    <w:p w:rsidR="00596B8F" w:rsidRDefault="00596B8F" w:rsidP="00596B8F">
      <w:pPr>
        <w:pStyle w:val="ad"/>
        <w:numPr>
          <w:ilvl w:val="0"/>
          <w:numId w:val="1"/>
        </w:numPr>
        <w:spacing w:line="360" w:lineRule="auto"/>
        <w:jc w:val="both"/>
        <w:rPr>
          <w:rFonts w:ascii="David" w:hAnsi="David"/>
          <w:b/>
          <w:bCs/>
          <w:noProof w:val="0"/>
        </w:rPr>
      </w:pPr>
      <w:r>
        <w:rPr>
          <w:rFonts w:ascii="David" w:hAnsi="David"/>
          <w:color w:val="000000"/>
          <w:rtl/>
        </w:rPr>
        <w:t xml:space="preserve">ילד צעיר אשר הושם אצל משפחת אומנה, נסיבותיו אינן זהות לילד שגר אצל הוריו הביולוגיים. "ילד-אומנה" הוא ילד שמחפש שייכות, הזדהות, בסיס בטוח, הגנה, יציבות וודאות בחייו. זאת בייחוד לאור השינויים שפקדו אותו והביאו להוצאתו מסביבתו הטבעית ומחיק הוריו. ככזה, הילד הוא בעל רגישות </w:t>
      </w:r>
      <w:r>
        <w:rPr>
          <w:rFonts w:ascii="David" w:hAnsi="David"/>
          <w:noProof w:val="0"/>
          <w:rtl/>
        </w:rPr>
        <w:t>ומורכבות רבה יותר ועל עולם המבוגרים להבין זאת, להכיל אותו, להתמודד עם רגשותיו המתנגשים, עם הבלבול האוחז בו ולספק לו כלים, יכולות וסיוע שיגרמו לו לחוש בטוח.</w:t>
      </w:r>
    </w:p>
    <w:p w:rsidR="00596B8F" w:rsidRDefault="00596B8F" w:rsidP="00596B8F">
      <w:pPr>
        <w:pStyle w:val="ad"/>
        <w:numPr>
          <w:ilvl w:val="0"/>
          <w:numId w:val="1"/>
        </w:numPr>
        <w:spacing w:line="360" w:lineRule="auto"/>
        <w:jc w:val="both"/>
        <w:rPr>
          <w:rFonts w:ascii="David" w:hAnsi="David"/>
          <w:noProof w:val="0"/>
        </w:rPr>
      </w:pPr>
      <w:r>
        <w:rPr>
          <w:rFonts w:ascii="David" w:hAnsi="David"/>
          <w:noProof w:val="0"/>
          <w:rtl/>
        </w:rPr>
        <w:lastRenderedPageBreak/>
        <w:t xml:space="preserve">אחת התיאוריות המובילות, המבוססות והמתוקפות בתחום הפסיכולוגיה תיאוריית ההתקשרות. תיאוריה זו משמשת מומחים ואת בתי המשפט בדונם בסכסוכי הורות בכלל ובהליכי אימוץ, נזקקות ונוער, בפרט (ראו רע"א 6211/13 </w:t>
      </w:r>
      <w:r>
        <w:rPr>
          <w:rFonts w:ascii="David" w:hAnsi="David"/>
          <w:b/>
          <w:bCs/>
          <w:noProof w:val="0"/>
          <w:rtl/>
        </w:rPr>
        <w:t>היועמ"ש נ' משרד הרווחה והשירותים החברתיים</w:t>
      </w:r>
      <w:r>
        <w:rPr>
          <w:rFonts w:ascii="David" w:hAnsi="David"/>
          <w:noProof w:val="0"/>
          <w:rtl/>
        </w:rPr>
        <w:t xml:space="preserve"> (נבו 23.12.2013, פסקה 33) ; </w:t>
      </w:r>
      <w:r>
        <w:rPr>
          <w:rFonts w:ascii="David" w:hAnsi="David"/>
          <w:color w:val="000000"/>
          <w:rtl/>
        </w:rPr>
        <w:t xml:space="preserve">בע"מ 9447/16 </w:t>
      </w:r>
      <w:r>
        <w:rPr>
          <w:rFonts w:ascii="David" w:hAnsi="David"/>
          <w:b/>
          <w:bCs/>
          <w:color w:val="000000"/>
          <w:rtl/>
        </w:rPr>
        <w:t>פלוני נ' היועץ המשפטי לממשלה - משרד הרווחה</w:t>
      </w:r>
      <w:r>
        <w:rPr>
          <w:rFonts w:ascii="David" w:hAnsi="David"/>
          <w:noProof w:val="0"/>
          <w:rtl/>
        </w:rPr>
        <w:t xml:space="preserve"> (נבו 28.2.2017) ; </w:t>
      </w:r>
      <w:r>
        <w:rPr>
          <w:rFonts w:ascii="David" w:hAnsi="David"/>
          <w:b/>
          <w:bCs/>
          <w:noProof w:val="0"/>
          <w:rtl/>
        </w:rPr>
        <w:t>דו"ח הועדה לבדיקת חוק אימוץ ילדי</w:t>
      </w:r>
      <w:r>
        <w:rPr>
          <w:rFonts w:ascii="David" w:hAnsi="David"/>
          <w:noProof w:val="0"/>
          <w:rtl/>
        </w:rPr>
        <w:t>ם תשמ"א – 1981 בישראל (2006) בראשות השופט בדימוס שלום ברנר בעמ' 36)).</w:t>
      </w:r>
    </w:p>
    <w:p w:rsidR="00596B8F" w:rsidRDefault="00596B8F" w:rsidP="00596B8F">
      <w:pPr>
        <w:pStyle w:val="ad"/>
        <w:numPr>
          <w:ilvl w:val="0"/>
          <w:numId w:val="1"/>
        </w:numPr>
        <w:spacing w:line="360" w:lineRule="auto"/>
        <w:jc w:val="both"/>
        <w:rPr>
          <w:rFonts w:ascii="David" w:hAnsi="David"/>
          <w:b/>
          <w:bCs/>
          <w:noProof w:val="0"/>
        </w:rPr>
      </w:pPr>
      <w:r>
        <w:rPr>
          <w:rFonts w:ascii="David" w:hAnsi="David"/>
          <w:noProof w:val="0"/>
          <w:rtl/>
        </w:rPr>
        <w:t xml:space="preserve">על פי תיאוריה זו, תקופת הזמן הראשונה בחייו של הילד היא קריטית ליצירת דמות עם מטפל ראשוני. </w:t>
      </w:r>
      <w:r>
        <w:rPr>
          <w:rtl/>
        </w:rPr>
        <w:t>התקשרות מוגדרת כקשר בין ילד להורה או למבוגר המטפל בו. הקשר בין הילד למבוגר המשמעותי נוצר באופן אינסטינקטיבי, והוא צורך פסיכולוגי מולד. קשר זה חיוני להישרדות התינוק ודומה לצרכים פיזיולוגיים אחרים. עבור הילד,</w:t>
      </w:r>
      <w:r>
        <w:rPr>
          <w:rFonts w:hint="cs"/>
        </w:rPr>
        <w:t xml:space="preserve"> </w:t>
      </w:r>
      <w:r>
        <w:rPr>
          <w:rtl/>
        </w:rPr>
        <w:t xml:space="preserve">הקשר משרת את הצורך בהגנה, בהזנה ובסיפוק צרכים נוספים. כאשר הילד הופך פעיל ועצמאי ולומד כי הוא יכול לסמוך על הדמות ההורית שתענה על צרכיו באופן רגיש, עקבי ומספק, הופכת דמות ההתקשרות ל"בסיס בטוח" שממנו הוא יכול להתרחק, לצאת ולחקור את הסביבה הפיזית או החברתית, ושאליו יוכל לחזור בזמן מצוקה או איום. ככל שנוכחות של מבוגר רגיש, אכפתי ומגן מורגשת יותר, כך נוצר בסיס בטוח יותר להתקשרות המאפשרת חקירה, למידה והתפתחות ההולכים ומתרחבים. </w:t>
      </w:r>
    </w:p>
    <w:p w:rsidR="00596B8F" w:rsidRDefault="00596B8F" w:rsidP="00596B8F">
      <w:pPr>
        <w:pStyle w:val="ad"/>
        <w:numPr>
          <w:ilvl w:val="0"/>
          <w:numId w:val="1"/>
        </w:numPr>
        <w:spacing w:line="360" w:lineRule="auto"/>
        <w:jc w:val="both"/>
        <w:rPr>
          <w:rFonts w:ascii="David" w:hAnsi="David"/>
          <w:b/>
          <w:bCs/>
          <w:noProof w:val="0"/>
        </w:rPr>
      </w:pPr>
      <w:r>
        <w:rPr>
          <w:rFonts w:ascii="David" w:hAnsi="David"/>
          <w:noProof w:val="0"/>
          <w:rtl/>
        </w:rPr>
        <w:t>די לי בעיון במסמכים שלפניי, בחינת הרקע של הקטינה, העובדה שהועברה בין משפחות 3 פעמים מאז לידתה, אפיוני התנהגותה אצל משפחת האומנה כדי להגיע לכל הפחות להשערה, כי קיימת בעיית התקשרות חמורה בקרבה של הקטינה.</w:t>
      </w:r>
    </w:p>
    <w:p w:rsidR="00596B8F" w:rsidRDefault="00596B8F" w:rsidP="00596B8F">
      <w:pPr>
        <w:pStyle w:val="ad"/>
        <w:numPr>
          <w:ilvl w:val="0"/>
          <w:numId w:val="1"/>
        </w:numPr>
        <w:spacing w:line="360" w:lineRule="auto"/>
        <w:jc w:val="both"/>
        <w:rPr>
          <w:rFonts w:ascii="David" w:hAnsi="David"/>
          <w:b/>
          <w:bCs/>
          <w:noProof w:val="0"/>
        </w:rPr>
      </w:pPr>
      <w:r>
        <w:rPr>
          <w:rtl/>
        </w:rPr>
        <w:t xml:space="preserve">על פי הספרות, חוויית ההתקשרות של ילד אשר מוצא מבית הוריו ומושם במשפחת אומנה, עלולה להיות לא פשוטה ולהשפיע על סגנונות ההתקשרות שאותם יישם בהמשך חייו. </w:t>
      </w:r>
      <w:r>
        <w:rPr>
          <w:rFonts w:hint="cs"/>
        </w:rPr>
        <w:t xml:space="preserve"> </w:t>
      </w:r>
      <w:r>
        <w:rPr>
          <w:rtl/>
        </w:rPr>
        <w:t>קיימת חשיבות מרובה ליצירת התקשרות משמעותית בין ילדים השוהים באומנה לבין המשפחה האומנת. התקשרות זו אינה אוטומטית ואינה קשורה למשך השהות באומנה.</w:t>
      </w:r>
      <w:r>
        <w:rPr>
          <w:rFonts w:hint="cs"/>
        </w:rPr>
        <w:t xml:space="preserve"> </w:t>
      </w:r>
      <w:r>
        <w:rPr>
          <w:rtl/>
        </w:rPr>
        <w:t>המשפחה האומנת אינה מהווה בית קבוע, ולעתים קיימת אפשרות חזרת הילד לבית הוריו. ארעיות ההסדר, והעובדה שהילד "עוד מעט" יוחזר להוריו, מקשה על ההתקשרות בינו לבין ההורים האומנים. לכך יש להוסיף מורכבות ההתמודדות עם סערות הגיל ועם השינויים הנורמטיביים.</w:t>
      </w:r>
      <w:r>
        <w:rPr>
          <w:rFonts w:hint="cs"/>
        </w:rPr>
        <w:t xml:space="preserve"> </w:t>
      </w:r>
      <w:r>
        <w:rPr>
          <w:rtl/>
        </w:rPr>
        <w:t xml:space="preserve">האתגר שבפניו עומדות משפחות אומנה, גדול יותר מהמצב שעמו מתמודדות המשפחות הביולוגיות, </w:t>
      </w:r>
      <w:r>
        <w:rPr>
          <w:b/>
          <w:bCs/>
          <w:rtl/>
        </w:rPr>
        <w:t>נוכח הצורך המיוחד של הילד לבדוק את שאלת הזהות והשייכות בהתייחס לשתי מערכות משפחתיות</w:t>
      </w:r>
      <w:r>
        <w:rPr>
          <w:rtl/>
        </w:rPr>
        <w:t xml:space="preserve"> (ראו </w:t>
      </w:r>
      <w:r>
        <w:rPr>
          <w:b/>
          <w:bCs/>
          <w:rtl/>
        </w:rPr>
        <w:t>אומנה הלכה למעשה: סגנונות התקשרות של ילדים במשפחות אומנה</w:t>
      </w:r>
      <w:r>
        <w:rPr>
          <w:rFonts w:ascii="David" w:hAnsi="David"/>
          <w:b/>
          <w:bCs/>
          <w:noProof w:val="0"/>
          <w:rtl/>
        </w:rPr>
        <w:t xml:space="preserve"> </w:t>
      </w:r>
      <w:r>
        <w:rPr>
          <w:rFonts w:ascii="David" w:hAnsi="David"/>
          <w:noProof w:val="0"/>
          <w:rtl/>
        </w:rPr>
        <w:t>(אשלים, 2010)).</w:t>
      </w:r>
    </w:p>
    <w:p w:rsidR="00596B8F" w:rsidRDefault="00596B8F" w:rsidP="00596B8F">
      <w:pPr>
        <w:pStyle w:val="ad"/>
        <w:numPr>
          <w:ilvl w:val="0"/>
          <w:numId w:val="1"/>
        </w:numPr>
        <w:spacing w:line="360" w:lineRule="auto"/>
        <w:jc w:val="both"/>
        <w:rPr>
          <w:rFonts w:ascii="David" w:hAnsi="David"/>
          <w:b/>
          <w:bCs/>
          <w:noProof w:val="0"/>
        </w:rPr>
      </w:pPr>
      <w:r>
        <w:rPr>
          <w:rtl/>
        </w:rPr>
        <w:t>במקרים מסוימים שבהם יוצרים ילדים התקשרות עם המשפחה האומנת, ההתקשרות למשפחתם הביולוגית הופכת למשמעותית פחות. ככל שההתקשרות בין הילד למשפחת האומנה חזקה יותר, כך הילד חשוף פחות לקונפליקט נאמנויות בין המשפחות.</w:t>
      </w:r>
      <w:r>
        <w:rPr>
          <w:rFonts w:hint="cs"/>
        </w:rPr>
        <w:t xml:space="preserve"> </w:t>
      </w:r>
      <w:r>
        <w:rPr>
          <w:rtl/>
        </w:rPr>
        <w:t xml:space="preserve">התנאי הראשון להתפתחות קשר בין ההורים האומנים לילד באומנה הוא הרגשת הביטחון שעל </w:t>
      </w:r>
      <w:r>
        <w:rPr>
          <w:rtl/>
        </w:rPr>
        <w:lastRenderedPageBreak/>
        <w:t xml:space="preserve">ההורים להקנות לילד. ההרגשה של הילד היא שהוא חשוף לסכנות ושאין לו דמות שעליה הוא יכול לסמוך. </w:t>
      </w:r>
    </w:p>
    <w:p w:rsidR="00596B8F" w:rsidRDefault="00596B8F" w:rsidP="00596B8F">
      <w:pPr>
        <w:pStyle w:val="ad"/>
        <w:numPr>
          <w:ilvl w:val="0"/>
          <w:numId w:val="1"/>
        </w:numPr>
        <w:spacing w:line="360" w:lineRule="auto"/>
        <w:jc w:val="both"/>
        <w:rPr>
          <w:rFonts w:ascii="Arial" w:hAnsi="Arial"/>
          <w:noProof w:val="0"/>
        </w:rPr>
      </w:pPr>
      <w:r>
        <w:rPr>
          <w:b/>
          <w:bCs/>
          <w:rtl/>
        </w:rPr>
        <w:t xml:space="preserve">על קונפליקט הנאמנויות של ילדי אומנה </w:t>
      </w:r>
      <w:r>
        <w:rPr>
          <w:rtl/>
        </w:rPr>
        <w:t>: ילדי אומנה נמצאים בקונפליקט תמידי בין המחויבות לנאמנות למשפחה הביולוגית לבין המחויבות לנאמנות למשפחת האומנה. קונפליקט זה דורש מהילד מציאת איזון מחודש ושמירה עליו. מתבגרים צעירים באומנה חווים קושי בשמירה על קשר קרוב הן עם ההורים הביולוגיים והן עם ההורים האומנים. נוכחות קבועה של האם הביולוגית בחיי הילד עלולה להוביל לקושי ביצירת קשרים עמוקים עם המשפחה האומנת. קונפליקט זה בא לידי ביטוי בצורה חריפה בעיקר אצל ילדים ששמרו על קשר קרוב עם שתי המשפחות, הביולוגית והאומנת</w:t>
      </w:r>
      <w:r>
        <w:t>.</w:t>
      </w:r>
    </w:p>
    <w:p w:rsidR="00596B8F" w:rsidRDefault="00596B8F" w:rsidP="00596B8F">
      <w:pPr>
        <w:pStyle w:val="ad"/>
        <w:numPr>
          <w:ilvl w:val="0"/>
          <w:numId w:val="1"/>
        </w:numPr>
        <w:spacing w:line="360" w:lineRule="auto"/>
        <w:jc w:val="both"/>
        <w:rPr>
          <w:rFonts w:ascii="Arial" w:hAnsi="Arial"/>
          <w:noProof w:val="0"/>
        </w:rPr>
      </w:pPr>
      <w:r>
        <w:rPr>
          <w:rFonts w:ascii="Arial" w:hAnsi="Arial"/>
          <w:b/>
          <w:bCs/>
          <w:noProof w:val="0"/>
          <w:rtl/>
        </w:rPr>
        <w:t xml:space="preserve">בחזרה לקטינה שלפניי </w:t>
      </w:r>
      <w:r>
        <w:rPr>
          <w:rFonts w:ascii="Arial" w:hAnsi="Arial"/>
          <w:noProof w:val="0"/>
          <w:rtl/>
        </w:rPr>
        <w:t>; בית משפט קמא בחן את השפעת הקשר שיש לקטינה עם משפחת האומנה ואת הדיווחים השונים ממרכז הקשר וממנחת האומנה ולמעשה הגיע למסקנה שהקשר עם הסבים מעצים ומסעיר עוד יותר את קונפליקט הנאמנויות שהקטינה מצויה בו (גם אם התרשמות זו לא נרשמה במילים אלה בדיוק היא עולה ונובעת מתוך ההחלטה וראו למשל סעיף 19 להחלטה). עיון במסמכים השונים שהוגשו בפני בימ"ש קמא ולפניי מבסס היטב את התרשמותו זו של בימ"ש קמא. שמיעת דברי האם המערערת והסבתא בבית המשפט מחזקים עוד יותר את הרושם האמור. ניכר שהאם והסבים מצויים במתיחות רבה, מבקשים להטיח האשמות קשות במשפחות האומנה, בעו"ס ובאפוט' לדין ומתקשים מאוד לראות את טובתה של הקטינה. די לי בשמיעת האם והסבתא</w:t>
      </w:r>
      <w:r w:rsidR="000661D3">
        <w:rPr>
          <w:rFonts w:ascii="Arial" w:hAnsi="Arial" w:hint="cs"/>
          <w:noProof w:val="0"/>
          <w:rtl/>
        </w:rPr>
        <w:t xml:space="preserve"> בדיון שנערך</w:t>
      </w:r>
      <w:r>
        <w:rPr>
          <w:rFonts w:ascii="Arial" w:hAnsi="Arial"/>
          <w:noProof w:val="0"/>
          <w:rtl/>
        </w:rPr>
        <w:t xml:space="preserve"> כדי להבין היטב מדוע החליט בית המשפט להגן על הקטינה מפני קונפליקט הנאמנויות האמור ולהפסיק המפגשים.</w:t>
      </w:r>
    </w:p>
    <w:p w:rsidR="00596B8F" w:rsidRDefault="00596B8F" w:rsidP="00F26B9C">
      <w:pPr>
        <w:pStyle w:val="ad"/>
        <w:numPr>
          <w:ilvl w:val="0"/>
          <w:numId w:val="1"/>
        </w:numPr>
        <w:spacing w:line="360" w:lineRule="auto"/>
        <w:jc w:val="both"/>
        <w:rPr>
          <w:rFonts w:ascii="Arial" w:hAnsi="Arial"/>
          <w:noProof w:val="0"/>
        </w:rPr>
      </w:pPr>
      <w:r>
        <w:rPr>
          <w:rFonts w:ascii="Arial" w:hAnsi="Arial"/>
          <w:noProof w:val="0"/>
          <w:rtl/>
        </w:rPr>
        <w:t xml:space="preserve">עוד אדגיש, כי הגם שהקטינה אינה פוגשת מזה 6 חודשים בסבים, </w:t>
      </w:r>
      <w:r w:rsidR="00F26B9C">
        <w:rPr>
          <w:rFonts w:ascii="Arial" w:hAnsi="Arial" w:hint="cs"/>
          <w:noProof w:val="0"/>
          <w:rtl/>
        </w:rPr>
        <w:t xml:space="preserve">עמדת </w:t>
      </w:r>
      <w:r>
        <w:rPr>
          <w:rFonts w:ascii="Arial" w:hAnsi="Arial"/>
          <w:noProof w:val="0"/>
          <w:rtl/>
        </w:rPr>
        <w:t>הקטינה העולה באופן ברור מעדכון מנחת האמנה מיום 30/10/23 ה</w:t>
      </w:r>
      <w:r w:rsidR="00F26B9C">
        <w:rPr>
          <w:rFonts w:ascii="Arial" w:hAnsi="Arial" w:hint="cs"/>
          <w:noProof w:val="0"/>
          <w:rtl/>
        </w:rPr>
        <w:t>יא</w:t>
      </w:r>
      <w:r>
        <w:rPr>
          <w:rFonts w:ascii="Arial" w:hAnsi="Arial"/>
          <w:noProof w:val="0"/>
          <w:rtl/>
        </w:rPr>
        <w:t xml:space="preserve"> כי אינה מעוניינת או רוצה להיפגש עם הסבים ושלמה עם הפסקת המפגשים (זאת בצד דאגה לשלומם). היא חשה שהסבים אינם אוהבים אותה, הגם שאינה יודעת להסביר זאת. מעדכון קודם של האפוט' לדין עולה כי הקטינה ממש מנסה להתחבר ולהשתייך למשפחת האומנה, מכנה אותם "אמא", "אבא" ומרגישה בסדר גמור אם יוחלט שהסבים לא יגיעו למפגשים עמה במרכז הקשר (סעיף 7 לעדכון האפוט' לדין). טוב לה יותר כעת והיא רגועה יותר על רקע התחלת טיפול תרופתי והפסקת המפגשים עם הסבים ובעיקר הסבתא.</w:t>
      </w:r>
      <w:r w:rsidR="000661D3">
        <w:rPr>
          <w:rFonts w:ascii="Arial" w:hAnsi="Arial" w:hint="cs"/>
          <w:noProof w:val="0"/>
          <w:rtl/>
        </w:rPr>
        <w:t xml:space="preserve"> עמדה זו היא עקבית ומצטרפת לדיווח של שירותי הרווחה מיום 30/8/23 שם נאמר שהקטינה נהנית ממפגשים עם אחיה ואמה לעומת המפגשים עם הסבים שאותם אינה מבקשת.</w:t>
      </w:r>
    </w:p>
    <w:p w:rsidR="00596B8F" w:rsidRDefault="00596B8F" w:rsidP="00F26B9C">
      <w:pPr>
        <w:pStyle w:val="ad"/>
        <w:numPr>
          <w:ilvl w:val="0"/>
          <w:numId w:val="1"/>
        </w:numPr>
        <w:spacing w:line="360" w:lineRule="auto"/>
        <w:jc w:val="both"/>
        <w:rPr>
          <w:rFonts w:ascii="Arial" w:hAnsi="Arial"/>
          <w:noProof w:val="0"/>
        </w:rPr>
      </w:pPr>
      <w:r>
        <w:rPr>
          <w:rFonts w:ascii="Arial" w:hAnsi="Arial"/>
          <w:noProof w:val="0"/>
          <w:rtl/>
        </w:rPr>
        <w:t>בימ"ש קמא הסתמך על דיווחי מנחת אומנה ומשפחת האומנה והאפוט' לדין לעניין השפעת הקשר של הקטינה עם הסבים ובכך אין כל פסול.</w:t>
      </w:r>
      <w:r w:rsidR="00F26B9C">
        <w:rPr>
          <w:rFonts w:ascii="Arial" w:hAnsi="Arial" w:hint="cs"/>
          <w:noProof w:val="0"/>
          <w:rtl/>
        </w:rPr>
        <w:t xml:space="preserve"> לבימ"ש קמא היכרות ממושכת עם הקטינה והסבים בכל הנוגע להתנהלותם בהליך ויש לכך משקל רב. </w:t>
      </w:r>
    </w:p>
    <w:p w:rsidR="00596B8F" w:rsidRDefault="00596B8F" w:rsidP="00F26B9C">
      <w:pPr>
        <w:pStyle w:val="ad"/>
        <w:numPr>
          <w:ilvl w:val="0"/>
          <w:numId w:val="1"/>
        </w:numPr>
        <w:spacing w:line="360" w:lineRule="auto"/>
        <w:jc w:val="both"/>
        <w:rPr>
          <w:rFonts w:ascii="Arial" w:hAnsi="Arial"/>
          <w:noProof w:val="0"/>
        </w:rPr>
      </w:pPr>
      <w:r>
        <w:rPr>
          <w:rFonts w:ascii="Arial" w:hAnsi="Arial"/>
          <w:noProof w:val="0"/>
          <w:rtl/>
        </w:rPr>
        <w:lastRenderedPageBreak/>
        <w:t xml:space="preserve">איני מקבל </w:t>
      </w:r>
      <w:r w:rsidR="000661D3">
        <w:rPr>
          <w:rFonts w:ascii="Arial" w:hAnsi="Arial" w:hint="cs"/>
          <w:noProof w:val="0"/>
          <w:rtl/>
        </w:rPr>
        <w:t xml:space="preserve">כלל </w:t>
      </w:r>
      <w:r>
        <w:rPr>
          <w:rFonts w:ascii="Arial" w:hAnsi="Arial"/>
          <w:noProof w:val="0"/>
          <w:rtl/>
        </w:rPr>
        <w:t>הטיעון של המערערת שלא ניתן להבין ולדעת באופן וודאי מה נאמר במרכז הקשר בין הסבים לבין הקטינה כיוון שהאינטראקציה היא ברוסית. ראשית</w:t>
      </w:r>
      <w:r w:rsidR="00F26B9C">
        <w:rPr>
          <w:rFonts w:ascii="Arial" w:hAnsi="Arial" w:hint="cs"/>
          <w:noProof w:val="0"/>
          <w:rtl/>
        </w:rPr>
        <w:t>,</w:t>
      </w:r>
      <w:r>
        <w:rPr>
          <w:rFonts w:ascii="Arial" w:hAnsi="Arial"/>
          <w:noProof w:val="0"/>
          <w:rtl/>
        </w:rPr>
        <w:t xml:space="preserve"> ישנם דיווחים שלעתים האינטראקציה היא גם בעברית, </w:t>
      </w:r>
      <w:r w:rsidR="00F26B9C">
        <w:rPr>
          <w:rFonts w:ascii="Arial" w:hAnsi="Arial" w:hint="cs"/>
          <w:noProof w:val="0"/>
          <w:rtl/>
        </w:rPr>
        <w:t xml:space="preserve">שנית, </w:t>
      </w:r>
      <w:r>
        <w:rPr>
          <w:rFonts w:ascii="Arial" w:hAnsi="Arial"/>
          <w:noProof w:val="0"/>
          <w:rtl/>
        </w:rPr>
        <w:t xml:space="preserve">לגורמי הטיפול שעות רבות עם הסבתא ממפגשים מקדימים לפני מרכז הקשר אשר נערכים בעברית. </w:t>
      </w:r>
      <w:r w:rsidR="00F26B9C">
        <w:rPr>
          <w:rFonts w:ascii="Arial" w:hAnsi="Arial" w:hint="cs"/>
          <w:noProof w:val="0"/>
          <w:rtl/>
        </w:rPr>
        <w:t xml:space="preserve">שלישית, </w:t>
      </w:r>
      <w:r>
        <w:rPr>
          <w:rFonts w:ascii="Arial" w:hAnsi="Arial"/>
          <w:noProof w:val="0"/>
          <w:rtl/>
        </w:rPr>
        <w:t xml:space="preserve">העו"ס לחוק הנוער דוברת רוסית. </w:t>
      </w:r>
      <w:r w:rsidR="00F26B9C">
        <w:rPr>
          <w:rFonts w:ascii="Arial" w:hAnsi="Arial" w:hint="cs"/>
          <w:noProof w:val="0"/>
          <w:rtl/>
        </w:rPr>
        <w:t xml:space="preserve">רביעית, הקטינה שהיא דוברת עברית ידעה היטב לציין בפני גורמי הטיפול את חקירות וביקורת הסבתא והאם ואת הקושי שלה להירגע לאחר מכן (ראו תגובת שירותי הרווחה לערעור קודם בענ"א 60001-08-23 מיום 30/8/23). </w:t>
      </w:r>
      <w:r>
        <w:rPr>
          <w:rFonts w:ascii="Arial" w:hAnsi="Arial"/>
          <w:noProof w:val="0"/>
          <w:rtl/>
        </w:rPr>
        <w:t>גם בדיון שנערך לפניי הבינה הסבתא חלקים ניכרים מדברי בית המשפט ללא צורך בתרגום. על כל אלה אוסיף, כי שפת הגוף והמסרים הבלתי מילוליים בגנות משפחת האומנה יכולים להשפיע לא פחות ואולי אף יותר ממסרים מילוליים</w:t>
      </w:r>
      <w:r w:rsidR="00F26B9C">
        <w:rPr>
          <w:rFonts w:ascii="Arial" w:hAnsi="Arial" w:hint="cs"/>
          <w:noProof w:val="0"/>
          <w:rtl/>
        </w:rPr>
        <w:t xml:space="preserve"> (גם לענין זה ראו תגובת לשכת הרווחה בענ"א 60001-08-23)</w:t>
      </w:r>
      <w:r>
        <w:rPr>
          <w:rFonts w:ascii="Arial" w:hAnsi="Arial"/>
          <w:noProof w:val="0"/>
          <w:rtl/>
        </w:rPr>
        <w:t>. תקשורת בין בני אדם מתקיימת הן באמצעים מילוליים והן בלתי מילוליים. יש הטוענים כי לאמצעים הבלתי מילוליים השפעה משמעותית יותר באופן דרמטי מהאמצעים המילוליים.</w:t>
      </w:r>
    </w:p>
    <w:p w:rsidR="00596B8F" w:rsidRDefault="00596B8F" w:rsidP="00596B8F">
      <w:pPr>
        <w:pStyle w:val="ad"/>
        <w:spacing w:line="360" w:lineRule="auto"/>
        <w:jc w:val="both"/>
        <w:rPr>
          <w:sz w:val="20"/>
          <w:szCs w:val="20"/>
          <w:rtl/>
        </w:rPr>
      </w:pPr>
      <w:r>
        <w:rPr>
          <w:rtl/>
        </w:rPr>
        <w:t>ראו:</w:t>
      </w:r>
      <w:r>
        <w:rPr>
          <w:sz w:val="20"/>
          <w:szCs w:val="20"/>
        </w:rPr>
        <w:t>Ekman, P., &amp; Friesen, W. V. (1969). The repertoire of nonverbal behavior: Categories, origins, usage and coding. Semiotica, 1, 49–98.</w:t>
      </w:r>
    </w:p>
    <w:p w:rsidR="00596B8F" w:rsidRDefault="00596B8F" w:rsidP="00596B8F">
      <w:pPr>
        <w:pStyle w:val="ad"/>
        <w:spacing w:line="360" w:lineRule="auto"/>
        <w:jc w:val="both"/>
        <w:rPr>
          <w:sz w:val="20"/>
          <w:szCs w:val="20"/>
          <w:rtl/>
        </w:rPr>
      </w:pPr>
      <w:r>
        <w:rPr>
          <w:sz w:val="20"/>
          <w:szCs w:val="20"/>
        </w:rPr>
        <w:t>Ekman, P., &amp; Friesen, W. V. (1974). Detecting deception from the body or face. Journal of Personality and Social Psychology, 29(3),</w:t>
      </w:r>
    </w:p>
    <w:p w:rsidR="00596B8F" w:rsidRDefault="00596B8F" w:rsidP="00596B8F">
      <w:pPr>
        <w:pStyle w:val="ad"/>
        <w:spacing w:line="360" w:lineRule="auto"/>
        <w:jc w:val="both"/>
        <w:rPr>
          <w:sz w:val="18"/>
          <w:szCs w:val="18"/>
          <w:rtl/>
        </w:rPr>
      </w:pPr>
      <w:r>
        <w:rPr>
          <w:sz w:val="22"/>
          <w:szCs w:val="22"/>
        </w:rPr>
        <w:t xml:space="preserve">Snow, C. E. (1994). The development of conversations between mothers and babies. </w:t>
      </w:r>
      <w:r>
        <w:rPr>
          <w:b/>
          <w:bCs/>
          <w:sz w:val="22"/>
          <w:szCs w:val="22"/>
        </w:rPr>
        <w:t>Journal of Child Language</w:t>
      </w:r>
      <w:r>
        <w:rPr>
          <w:sz w:val="22"/>
          <w:szCs w:val="22"/>
        </w:rPr>
        <w:t>, 4, 1–22.</w:t>
      </w:r>
    </w:p>
    <w:p w:rsidR="00596B8F" w:rsidRDefault="00596B8F" w:rsidP="00596B8F">
      <w:pPr>
        <w:pStyle w:val="ad"/>
        <w:spacing w:line="360" w:lineRule="auto"/>
        <w:jc w:val="both"/>
        <w:rPr>
          <w:rFonts w:ascii="Arial" w:hAnsi="Arial"/>
          <w:noProof w:val="0"/>
          <w:sz w:val="20"/>
          <w:szCs w:val="20"/>
          <w:rtl/>
        </w:rPr>
      </w:pPr>
    </w:p>
    <w:p w:rsidR="00596B8F" w:rsidRDefault="00596B8F" w:rsidP="000063FC">
      <w:pPr>
        <w:pStyle w:val="ad"/>
        <w:spacing w:line="360" w:lineRule="auto"/>
        <w:jc w:val="both"/>
        <w:rPr>
          <w:rFonts w:ascii="Arial" w:hAnsi="Arial"/>
          <w:noProof w:val="0"/>
        </w:rPr>
      </w:pPr>
      <w:r>
        <w:rPr>
          <w:rFonts w:ascii="Arial" w:hAnsi="Arial"/>
          <w:noProof w:val="0"/>
          <w:rtl/>
        </w:rPr>
        <w:t>שפת הגוף הינה הדרך הטבעית והבסיסית ביותר להעברת מסרים ללא שימוש במילים אלא בעזרת תנועות, תנוחות, מבטים ואיכויות קוליות. שפת הגוף הייתה שפת התקשורת בין בני האדם עוד לפני שהומצאה המילה. על כן כאשר יש בפני בית משפט קמא דיווח מהימן אודות שפת הגוף של הסבים</w:t>
      </w:r>
      <w:r w:rsidR="00F26B9C">
        <w:rPr>
          <w:rFonts w:ascii="Arial" w:hAnsi="Arial" w:hint="cs"/>
          <w:noProof w:val="0"/>
          <w:rtl/>
        </w:rPr>
        <w:t xml:space="preserve"> (ודיווח מרכז הקשר הוא </w:t>
      </w:r>
      <w:r w:rsidR="00124868">
        <w:rPr>
          <w:rFonts w:ascii="Arial" w:hAnsi="Arial" w:hint="cs"/>
          <w:noProof w:val="0"/>
          <w:rtl/>
        </w:rPr>
        <w:t>דיווח מהימן שכזה)</w:t>
      </w:r>
      <w:r>
        <w:rPr>
          <w:rFonts w:ascii="Arial" w:hAnsi="Arial"/>
          <w:noProof w:val="0"/>
          <w:rtl/>
        </w:rPr>
        <w:t xml:space="preserve"> וממנה עולה הסתה או אי נוחות וביקורת כלפי האומנה, ברור שהדבר מחלחל ועובר היטב אל הקטינה. אגב, לא צריך להיות מומחה לשפת הגוף כדי להתרשם מרמת אי האמון, הכעס, ההאשמה והגישה השלילית בקרב האם והסבתא כנגד גורמי הרווחה, אפוט' לדין ומשפחות האומנה (הדברים עלו אף בדיון שלפניי בדמות דרישת חקירה משטרתית, האשמת גורמי הטיפול בכך שמשקרים ועוד).</w:t>
      </w:r>
    </w:p>
    <w:p w:rsidR="00596B8F" w:rsidRDefault="00596B8F" w:rsidP="00596B8F">
      <w:pPr>
        <w:pStyle w:val="ad"/>
        <w:numPr>
          <w:ilvl w:val="0"/>
          <w:numId w:val="1"/>
        </w:numPr>
        <w:spacing w:line="360" w:lineRule="auto"/>
        <w:jc w:val="both"/>
        <w:rPr>
          <w:rFonts w:ascii="Arial" w:hAnsi="Arial"/>
          <w:noProof w:val="0"/>
          <w:rtl/>
        </w:rPr>
      </w:pPr>
      <w:r>
        <w:rPr>
          <w:rFonts w:ascii="Arial" w:hAnsi="Arial"/>
          <w:noProof w:val="0"/>
          <w:rtl/>
        </w:rPr>
        <w:t>די בכל אלה יחד עם ההיסטוריה שפורטה בהחלטת בית משפט קמא כדי להמחיש עד כמה ההחלטה מבוססת ומוצדקת.</w:t>
      </w:r>
    </w:p>
    <w:p w:rsidR="00596B8F" w:rsidRDefault="00596B8F" w:rsidP="00124868">
      <w:pPr>
        <w:pStyle w:val="ad"/>
        <w:numPr>
          <w:ilvl w:val="0"/>
          <w:numId w:val="1"/>
        </w:numPr>
        <w:spacing w:line="360" w:lineRule="auto"/>
        <w:jc w:val="both"/>
        <w:rPr>
          <w:rFonts w:ascii="Arial" w:hAnsi="Arial"/>
          <w:noProof w:val="0"/>
        </w:rPr>
      </w:pPr>
      <w:r>
        <w:rPr>
          <w:rFonts w:ascii="Arial" w:hAnsi="Arial"/>
          <w:noProof w:val="0"/>
          <w:rtl/>
        </w:rPr>
        <w:t>מכאן אני מגיע לשני טיעונים חסרי ביסוס של ב"כ היועמ"ש כנגד החלטת בית משפט קמא</w:t>
      </w:r>
      <w:r w:rsidR="00124868">
        <w:rPr>
          <w:rFonts w:ascii="Arial" w:hAnsi="Arial" w:hint="cs"/>
          <w:noProof w:val="0"/>
          <w:rtl/>
        </w:rPr>
        <w:t xml:space="preserve"> שיש להצר כי הועלו;</w:t>
      </w:r>
      <w:r>
        <w:rPr>
          <w:rFonts w:ascii="Arial" w:hAnsi="Arial"/>
          <w:noProof w:val="0"/>
          <w:rtl/>
        </w:rPr>
        <w:t xml:space="preserve"> נטען (גם על ידי המערערת), כי ההחלטה בדבר הפסקת הקשר בין הסבים לבין הקטינה היא החלטה של גורמי הטיפול וכל עוד אלה לא החליטו על כך או החליטו ההפך, לא היה רשאי בית משפט קמא לקבוע אחרת. </w:t>
      </w:r>
      <w:r w:rsidR="00124868">
        <w:rPr>
          <w:rFonts w:ascii="Arial" w:hAnsi="Arial" w:hint="cs"/>
          <w:noProof w:val="0"/>
          <w:rtl/>
        </w:rPr>
        <w:t xml:space="preserve">אכן, יש לשוות </w:t>
      </w:r>
      <w:r>
        <w:rPr>
          <w:rFonts w:ascii="Arial" w:hAnsi="Arial"/>
          <w:noProof w:val="0"/>
          <w:rtl/>
        </w:rPr>
        <w:t>ל</w:t>
      </w:r>
      <w:r w:rsidR="00124868">
        <w:rPr>
          <w:rFonts w:ascii="Arial" w:hAnsi="Arial" w:hint="cs"/>
          <w:noProof w:val="0"/>
          <w:rtl/>
        </w:rPr>
        <w:t xml:space="preserve">עמדת </w:t>
      </w:r>
      <w:r>
        <w:rPr>
          <w:rFonts w:ascii="Arial" w:hAnsi="Arial"/>
          <w:noProof w:val="0"/>
          <w:rtl/>
        </w:rPr>
        <w:t xml:space="preserve">גורמי הטיפול משקל רב ומשמעותי בקבלת ההחלטות השיפוטיות. אך בל נזכור כי בית המשפט </w:t>
      </w:r>
      <w:r>
        <w:rPr>
          <w:rFonts w:ascii="Arial" w:hAnsi="Arial"/>
          <w:noProof w:val="0"/>
          <w:rtl/>
        </w:rPr>
        <w:lastRenderedPageBreak/>
        <w:t>לנוער אינו חותמת גומי ואינו גורם שנועד אך לאשר המלצות כאלה ואחרות. בסופו של יום האחריות והסמכות ליתן ולקבוע דרכי טיפול היא של בית המשפט. זה האחרון אינו כבול בהמלצה של גורם טיפולי כזה או אחר ומוסמך לסטות מהן. אלא שבמקרה שלפניי, טענת ב"כ היועמ"ש והעו"ס כלל לא הייתה מבוססת</w:t>
      </w:r>
      <w:r w:rsidR="00124868">
        <w:rPr>
          <w:rFonts w:ascii="Arial" w:hAnsi="Arial" w:hint="cs"/>
          <w:noProof w:val="0"/>
          <w:rtl/>
        </w:rPr>
        <w:t xml:space="preserve"> ונכונה מבחינה עובדתית</w:t>
      </w:r>
      <w:r>
        <w:rPr>
          <w:rFonts w:ascii="Arial" w:hAnsi="Arial"/>
          <w:noProof w:val="0"/>
          <w:rtl/>
        </w:rPr>
        <w:t xml:space="preserve">. נטען כי המלצת ועדת תכנון טיפול שקדמה לדיון </w:t>
      </w:r>
      <w:r w:rsidR="00124868">
        <w:rPr>
          <w:rFonts w:ascii="Arial" w:hAnsi="Arial" w:hint="cs"/>
          <w:noProof w:val="0"/>
          <w:rtl/>
        </w:rPr>
        <w:t xml:space="preserve">הייתה </w:t>
      </w:r>
      <w:r w:rsidRPr="00124868">
        <w:rPr>
          <w:rFonts w:ascii="Arial" w:hAnsi="Arial"/>
          <w:b/>
          <w:bCs/>
          <w:noProof w:val="0"/>
          <w:rtl/>
        </w:rPr>
        <w:t>שלא</w:t>
      </w:r>
      <w:r>
        <w:rPr>
          <w:rFonts w:ascii="Arial" w:hAnsi="Arial"/>
          <w:noProof w:val="0"/>
          <w:rtl/>
        </w:rPr>
        <w:t xml:space="preserve"> להפסיק את הקשר. ביקשתי כי העו"ס תפנה אותי להמלצה שכזו והדבר לא עלה בידי</w:t>
      </w:r>
      <w:r w:rsidR="00124868">
        <w:rPr>
          <w:rFonts w:ascii="Arial" w:hAnsi="Arial" w:hint="cs"/>
          <w:noProof w:val="0"/>
          <w:rtl/>
        </w:rPr>
        <w:t>ה</w:t>
      </w:r>
      <w:r>
        <w:rPr>
          <w:rFonts w:ascii="Arial" w:hAnsi="Arial"/>
          <w:noProof w:val="0"/>
          <w:rtl/>
        </w:rPr>
        <w:t xml:space="preserve"> כיוון שהדבר לא נרשם. זאת ועוד, בפנותי לתסקיר שהוגש קודם הדיון האחרון בבית משפט קמא (מיום 31/7/23) מצאתי כי הקטינה מתארת תחושת אשמה שבני משפחתה רבים עם עו"ס מרכז הקשר בגללה, מתארת שאלות לא נעימות של אמה וסבתה על משפחת האומנה (האם פוגעים בה, האם</w:t>
      </w:r>
      <w:r w:rsidR="00130356">
        <w:rPr>
          <w:rFonts w:ascii="Arial" w:hAnsi="Arial" w:hint="cs"/>
          <w:noProof w:val="0"/>
          <w:rtl/>
        </w:rPr>
        <w:t xml:space="preserve"> מכבסים</w:t>
      </w:r>
      <w:r>
        <w:rPr>
          <w:rFonts w:ascii="Arial" w:hAnsi="Arial"/>
          <w:noProof w:val="0"/>
          <w:rtl/>
        </w:rPr>
        <w:t xml:space="preserve"> לה את הבגדים) וכן שיתפה שרצו לזרוק מעיל שלה לפח כיוון שהיה מלוכלך. עוד נרשם כי מדיווחי עו"ס מרכז הקשר עלה כי המפגשים של הקטינה עם משפחתה מלווים במתיחות רבה בחדר ומעמידים אותה בחוויה לא פשוטה. האם והסבתא חוקרות אותה בשאלות רבות באופן שאינו מותאם, יש להן תלונות רבות כנגד המערכת שמושמעות באזניה של הקטינה והאווירה מאוד לא פשוטה. מהדיווחים עולה, כי המתיחות מתגברת משמעותית כאשר מצטרפים הסבים למפגשים. בסיכום התסקיר הומלץ על המשך זמני שהות באותה מתכונת אך לא נאמר דבר ביחס לסבים. מכל מקום, אין כל אמירה שנכון להמשיך את הקשר של הקטינה עם הסבים או כי הדבר הוא לטובתה</w:t>
      </w:r>
      <w:r w:rsidR="00CC2A1F">
        <w:rPr>
          <w:rFonts w:ascii="Arial" w:hAnsi="Arial" w:hint="cs"/>
          <w:noProof w:val="0"/>
          <w:rtl/>
        </w:rPr>
        <w:t xml:space="preserve"> (כבר באוגוסט 2023 עמדת גורמי הרווחה הייתה שיש צורך בריווח המפגשים)</w:t>
      </w:r>
      <w:r>
        <w:rPr>
          <w:rFonts w:ascii="Arial" w:hAnsi="Arial"/>
          <w:noProof w:val="0"/>
          <w:rtl/>
        </w:rPr>
        <w:t xml:space="preserve">. גם במסגרת הדיון שנערך לפניי הודתה העו"ס לחוק הנוער לאחר שהציגה בפניי את פרוטוקול ועדת תכנון הטיפול כי </w:t>
      </w:r>
      <w:r w:rsidRPr="00CC2A1F">
        <w:rPr>
          <w:rFonts w:ascii="Arial" w:hAnsi="Arial"/>
          <w:b/>
          <w:bCs/>
          <w:noProof w:val="0"/>
          <w:rtl/>
        </w:rPr>
        <w:t>כלל אין בדו"ח כל המלצות לעניין הקשר של הקטינה עם הסבים</w:t>
      </w:r>
      <w:r>
        <w:rPr>
          <w:rFonts w:ascii="Arial" w:hAnsi="Arial"/>
          <w:noProof w:val="0"/>
          <w:rtl/>
        </w:rPr>
        <w:t>. על כן לא ברור לבית המשפט מדוע טענה ב"כ היועמ"ש טענות סותרות עת טענה כי דעת גורמי הטיפול בועדת תכנון הטיפול הייתה שאין להפסיק הקשר בין הקטינה לבין הסבים (עמ' 6 שורה 1 לפרוטוקול).</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טיעון אחר של ב"כ היועמ"ש היה כי בית משפט קמא נקלע לכלל טעות עת ביסס החלטתו על החלטת הממונה על רישוי אומנה שסירב להכיר בסבים כמשפחת אומנה. בימ"ש קמא כלל לא ביסס החלטתו על סירוב להכיר בסבים כמשפחת אומנה והזכיר זאת כאמרת אגב בשולי ההחלטה. נהפוך הוא, בית המשפט אף מצא לקבוע כי אם יתקבל הערר של הסבים, יתחיל הליך הדרגתי לחידוש קשר עם הקטינה אך גם אם הערר יידחה תיעשה בחינה שכזו (עמ' 7 שורות 15-18 להחלטה). אמירות אלה של בימ"ש קמא גם משמיטים המסד תחת הטיעון של ב"כ היועמ"ש וב"כ האם כי החלטת בית המשפט בעניין הפסקת הקשר בין הקטינה לבין הסבים הינה סופית. בית משפט קמא לא מוסמך כלל לנתק הקשר סופית. בית משפט לנוער נותן החלטות קצובות זמן תחת מעקבים מתמידים ורשאי לשנות החלטותיו מעת לעת. גם לגופו של דבר הרי ברחל בתך הקטנה נרשם על ידי בימ"ש קמא שבכוונתו לשוב ולבחון סוגיית הקשר עם הסבים בתוך שלושה חודשים (עמ' 7 שורה 24 להחלטה).</w:t>
      </w:r>
    </w:p>
    <w:p w:rsidR="00596B8F" w:rsidRDefault="00596B8F" w:rsidP="00CC2A1F">
      <w:pPr>
        <w:pStyle w:val="ad"/>
        <w:numPr>
          <w:ilvl w:val="0"/>
          <w:numId w:val="1"/>
        </w:numPr>
        <w:spacing w:line="360" w:lineRule="auto"/>
        <w:jc w:val="both"/>
        <w:rPr>
          <w:rFonts w:ascii="Arial" w:hAnsi="Arial"/>
          <w:noProof w:val="0"/>
        </w:rPr>
      </w:pPr>
      <w:r>
        <w:rPr>
          <w:rFonts w:ascii="Arial" w:hAnsi="Arial"/>
          <w:noProof w:val="0"/>
          <w:rtl/>
        </w:rPr>
        <w:lastRenderedPageBreak/>
        <w:t xml:space="preserve">קשה להשתחרר מהרושם, שב"כ היועמ"ש והעו"ס לחוק הנוער בחרו לנקוט עמדה המערערת על החלטת בית משפט קמא </w:t>
      </w:r>
      <w:r w:rsidRPr="00CC2A1F">
        <w:rPr>
          <w:rFonts w:ascii="Arial" w:hAnsi="Arial"/>
          <w:b/>
          <w:bCs/>
          <w:noProof w:val="0"/>
          <w:rtl/>
        </w:rPr>
        <w:t xml:space="preserve">שלא </w:t>
      </w:r>
      <w:r>
        <w:rPr>
          <w:rFonts w:ascii="Arial" w:hAnsi="Arial"/>
          <w:noProof w:val="0"/>
          <w:rtl/>
        </w:rPr>
        <w:t>משיקולים הנוגעים לטובת הקטינה. ניכר כי קיימת מחלוקת עזה בין האפוט' לדין לבין העו"ס לחוק הנוער וב"כ היועמ"ש אם מדובר במקרה שמתאים להימשך כתיק נזקקות והשמה של הקטינה באומנה או שמא נכון לנקוט בהליך אימוץ</w:t>
      </w:r>
      <w:r w:rsidR="00CC2A1F">
        <w:rPr>
          <w:rFonts w:ascii="Arial" w:hAnsi="Arial" w:hint="cs"/>
          <w:noProof w:val="0"/>
          <w:rtl/>
        </w:rPr>
        <w:t xml:space="preserve"> ומחלוקת גם בעניין הקשר של הסבים עם הקטינה</w:t>
      </w:r>
      <w:r>
        <w:rPr>
          <w:rFonts w:ascii="Arial" w:hAnsi="Arial"/>
          <w:noProof w:val="0"/>
          <w:rtl/>
        </w:rPr>
        <w:t>. מצער להיווכח שמקום שהאפוט' לדין פונה בשם הקטינה ולהגן על אינטרסיה, במקום שגורמי הטיפול וב"כ היועמ"ש יבחנו הדבר מנקודת המבט של טובת הקטינה, נראה כי נשקלים שיקולים אחרים שאינם רלבנטיים. דבר זה אך מחזק את חשיבות מינוי האפוט' לדין ועצמאות פעולותיו כמי שפועל להגן על רצון וטובת הילדים בהליכים שונים הנוגעים להם ואף לנקוט בהליכים משפטיים לשם כך</w:t>
      </w:r>
      <w:r w:rsidR="00CC2A1F">
        <w:rPr>
          <w:rFonts w:ascii="Arial" w:hAnsi="Arial" w:hint="cs"/>
          <w:noProof w:val="0"/>
          <w:rtl/>
        </w:rPr>
        <w:t xml:space="preserve"> באופן שמנוטרל מכל שיקול אחר שאינו טובת הקטינה</w:t>
      </w:r>
      <w:r>
        <w:rPr>
          <w:rFonts w:ascii="Arial" w:hAnsi="Arial"/>
          <w:noProof w:val="0"/>
          <w:rtl/>
        </w:rPr>
        <w:t xml:space="preserve"> (ראו בהקשר זה החלטתי בתיק אמ"צ (נצ') 26/13 </w:t>
      </w:r>
      <w:r>
        <w:rPr>
          <w:rFonts w:ascii="Arial" w:hAnsi="Arial"/>
          <w:b/>
          <w:bCs/>
          <w:noProof w:val="0"/>
          <w:rtl/>
        </w:rPr>
        <w:t>ב"כ היועמ"ש נ' פלונית</w:t>
      </w:r>
      <w:r>
        <w:rPr>
          <w:rFonts w:ascii="Arial" w:hAnsi="Arial"/>
          <w:noProof w:val="0"/>
          <w:rtl/>
        </w:rPr>
        <w:t xml:space="preserve"> (נבו 26.12.2013)).</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 xml:space="preserve">ולאחר שאמרתי את כל אלה, יש מקום גם להביט </w:t>
      </w:r>
      <w:r w:rsidR="001504A6">
        <w:rPr>
          <w:rFonts w:ascii="Arial" w:hAnsi="Arial" w:hint="cs"/>
          <w:noProof w:val="0"/>
          <w:rtl/>
        </w:rPr>
        <w:t xml:space="preserve">באמפתיה </w:t>
      </w:r>
      <w:r>
        <w:rPr>
          <w:rFonts w:ascii="Arial" w:hAnsi="Arial"/>
          <w:noProof w:val="0"/>
          <w:rtl/>
        </w:rPr>
        <w:t xml:space="preserve">על נקודת ההתייחסות של הסבים והמערערת בסוגייה. בהליכים של נזקקות (ואימוץ) מצויה המשפחה הביולוגית פעמים רבות בין הפטיש לסדן. מצד אחד, המשפחה הביולוגית כעוסה, זועמת וחסרת אמון ברשויות הרווחה שכן הן אלה שפעלו או פועלות להוציא הילד ממשמורתה. מצד שני, היא אמורה לסמוך, לבטוח, לשתף פעולה, לשתף ולקיים יחסי גומלין עם אותן רשויות ועו"ס. בנוסף, אותם בני משפחה שנקלעים לסיטואציה הקשה בחייהם אמורים להתנהל ולהתנהג ברוגע ובנימוס, כאשר הם כועסים, חושבים באמת ובתמים שילדיהם לא זוכים ליחס ראוי ואף מופקרים על ידי רשויות הרווחה או משפחת האומנה. מדובר בסיטואציה קשה ביותר שמחייבת הבנה של גורמי הטיפול ובית המשפט לליבם של בני המשפחה הביולוגית. </w:t>
      </w:r>
    </w:p>
    <w:p w:rsidR="001504A6" w:rsidRDefault="00596B8F" w:rsidP="001504A6">
      <w:pPr>
        <w:pStyle w:val="ad"/>
        <w:numPr>
          <w:ilvl w:val="0"/>
          <w:numId w:val="1"/>
        </w:numPr>
        <w:spacing w:line="360" w:lineRule="auto"/>
        <w:jc w:val="both"/>
        <w:rPr>
          <w:rFonts w:ascii="Arial" w:hAnsi="Arial"/>
          <w:noProof w:val="0"/>
        </w:rPr>
      </w:pPr>
      <w:r>
        <w:rPr>
          <w:rFonts w:ascii="Arial" w:hAnsi="Arial"/>
          <w:noProof w:val="0"/>
          <w:rtl/>
        </w:rPr>
        <w:t>במסגרת הדיון שנערך לפניי, בצד הצבת שאלות נוקבות ולא פשוטות למערערת ולהוריה, ראיתי לנכון להקשיב לטענותיהם (גם אם נטענו אינספור פעמים בפני העו"ס ובית משפט קמא</w:t>
      </w:r>
      <w:r w:rsidR="001504A6">
        <w:rPr>
          <w:rFonts w:ascii="Arial" w:hAnsi="Arial" w:hint="cs"/>
          <w:noProof w:val="0"/>
          <w:rtl/>
        </w:rPr>
        <w:t xml:space="preserve"> ואף בהליכי ערעור קודמים</w:t>
      </w:r>
      <w:r>
        <w:rPr>
          <w:rFonts w:ascii="Arial" w:hAnsi="Arial"/>
          <w:noProof w:val="0"/>
          <w:rtl/>
        </w:rPr>
        <w:t>). ניסיתי לשדר להם כי בית המשפט בוחן באמפתיה את מצבם. ברם בסופו של דיון הסברתי כיצד נראים הדברים מתוך עיניה של הקטינה לגישת בית המשפט וכיצד מצופה מהם להתנהל ולהתנהג בעתיד אם מעוניינים הם בקשר עם הקטינה ובקידום טובתה. סבורני, כי הדברים נשמעו היטב.</w:t>
      </w:r>
      <w:r w:rsidR="001504A6">
        <w:rPr>
          <w:rFonts w:ascii="Arial" w:hAnsi="Arial" w:hint="cs"/>
          <w:noProof w:val="0"/>
          <w:rtl/>
        </w:rPr>
        <w:t xml:space="preserve"> עולה מדיווחי לשכת הרווחה כי גם גורמי טיפול ניסו לשנות את המצב באמצעות שיחות עמם ושיקוף התנהלותן ונתקלו בהתנגדות וחוסר שיתוף פעולה (דיווח עו"ס מיום 30/8/23 בענ"א 60001-08-23). איני סבור שיש לסתום את הגולל ולקבוע סופית שהסבים אינם מסוגלים לשנות התנהלותם, ברם אם גם בעת הקרובה לא יווכח בית משפט לנוער ממידה מסוימת של שינוי והפנמה בקרב הסבים את טעותם, הרי שיהיה קושי לשנות מההחלטה בדבר הפסקת המפגשים.</w:t>
      </w: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משסיימנו הדיון בערעור גילינו כי דינו להידחות ובהחלטת בית המשפט לנוער לא נפל כל פגם. ויחד עם זאת ובשים לב לחשיבות הבחינה המקצועית של השפעת הקשר בין הסבים לבין הקטינה על התפתחותה וטובתה, ראיתי לנכון להורות כדלהלן:</w:t>
      </w:r>
    </w:p>
    <w:p w:rsidR="00596B8F" w:rsidRDefault="00596B8F" w:rsidP="000661D3">
      <w:pPr>
        <w:pStyle w:val="ad"/>
        <w:numPr>
          <w:ilvl w:val="1"/>
          <w:numId w:val="1"/>
        </w:numPr>
        <w:spacing w:line="360" w:lineRule="auto"/>
        <w:jc w:val="both"/>
        <w:rPr>
          <w:rFonts w:ascii="Arial" w:hAnsi="Arial"/>
          <w:noProof w:val="0"/>
        </w:rPr>
      </w:pPr>
      <w:r>
        <w:rPr>
          <w:rFonts w:ascii="Arial" w:hAnsi="Arial"/>
          <w:noProof w:val="0"/>
          <w:rtl/>
        </w:rPr>
        <w:lastRenderedPageBreak/>
        <w:t xml:space="preserve">הועדה המחוזית המקצועית שאמורה להתכנס בעניין הקטינה, תבחן את שאלת הקשר בין הקטינה לבין הסבים </w:t>
      </w:r>
      <w:r w:rsidR="000661D3">
        <w:rPr>
          <w:rFonts w:ascii="Arial" w:hAnsi="Arial" w:hint="cs"/>
          <w:noProof w:val="0"/>
          <w:rtl/>
        </w:rPr>
        <w:t xml:space="preserve">בשים לב לכל האמור בדיווחים קודמים שלגורמי הטיפול ובהחלטת בית משפט קמא </w:t>
      </w:r>
      <w:r>
        <w:rPr>
          <w:rFonts w:ascii="Arial" w:hAnsi="Arial"/>
          <w:noProof w:val="0"/>
          <w:rtl/>
        </w:rPr>
        <w:t>ות</w:t>
      </w:r>
      <w:r w:rsidR="000661D3">
        <w:rPr>
          <w:rFonts w:ascii="Arial" w:hAnsi="Arial" w:hint="cs"/>
          <w:noProof w:val="0"/>
          <w:rtl/>
        </w:rPr>
        <w:t>י</w:t>
      </w:r>
      <w:r>
        <w:rPr>
          <w:rFonts w:ascii="Arial" w:hAnsi="Arial"/>
          <w:noProof w:val="0"/>
          <w:rtl/>
        </w:rPr>
        <w:t xml:space="preserve">תן המלצה מתאימה לבית משפט </w:t>
      </w:r>
      <w:r w:rsidR="000661D3">
        <w:rPr>
          <w:rFonts w:ascii="Arial" w:hAnsi="Arial" w:hint="cs"/>
          <w:noProof w:val="0"/>
          <w:rtl/>
        </w:rPr>
        <w:t>לנוער</w:t>
      </w:r>
      <w:r>
        <w:rPr>
          <w:rFonts w:ascii="Arial" w:hAnsi="Arial"/>
          <w:noProof w:val="0"/>
          <w:rtl/>
        </w:rPr>
        <w:t xml:space="preserve"> בתוך 30 יום מהיום והוא ייתן החלטתו כטוב שיקול דעתו, חכמתו ונסיונו.</w:t>
      </w:r>
      <w:r w:rsidR="000661D3">
        <w:rPr>
          <w:rFonts w:ascii="Arial" w:hAnsi="Arial" w:hint="cs"/>
          <w:noProof w:val="0"/>
          <w:rtl/>
        </w:rPr>
        <w:t xml:space="preserve"> ראוי כי בדיון ועדות מקצועיות בעניין הקטינה יבוא לידי ביטוי דיון בטובת</w:t>
      </w:r>
      <w:r w:rsidR="004D79F0">
        <w:rPr>
          <w:rFonts w:ascii="Arial" w:hAnsi="Arial" w:hint="cs"/>
          <w:noProof w:val="0"/>
          <w:rtl/>
        </w:rPr>
        <w:t xml:space="preserve"> הקטינה מנקודת המבט של תיאוריית ההתקשרות.</w:t>
      </w:r>
    </w:p>
    <w:p w:rsidR="00596B8F" w:rsidRDefault="00596B8F" w:rsidP="00596B8F">
      <w:pPr>
        <w:pStyle w:val="ad"/>
        <w:numPr>
          <w:ilvl w:val="1"/>
          <w:numId w:val="1"/>
        </w:numPr>
        <w:spacing w:line="360" w:lineRule="auto"/>
        <w:jc w:val="both"/>
        <w:rPr>
          <w:rFonts w:ascii="Arial" w:hAnsi="Arial"/>
          <w:noProof w:val="0"/>
        </w:rPr>
      </w:pPr>
      <w:r>
        <w:rPr>
          <w:rFonts w:ascii="Arial" w:hAnsi="Arial"/>
          <w:noProof w:val="0"/>
          <w:rtl/>
        </w:rPr>
        <w:t>ככל שיוחלט על חידוש הקשר בין הקטינה לבין הסבים, הרי שהעו"ס לחוק הנוער בשיתוף פעולה עם ב"כ המערערת תדאג להסדיר נוכחות מתורגמנית לשפה רוסית במפגשים בין הסבים לבין הקטינה.</w:t>
      </w:r>
      <w:r w:rsidR="001504A6">
        <w:rPr>
          <w:rFonts w:ascii="Arial" w:hAnsi="Arial" w:hint="cs"/>
          <w:noProof w:val="0"/>
          <w:rtl/>
        </w:rPr>
        <w:t xml:space="preserve"> נראה נכון בעיני בית המשפט כי ככל שיחודש הקשר, המפגשים צריכים להיות קצרים יותר (בהיקף של כחצי שעה) ומתוכננים לפרטי פרטים מול הסבים על מנת להבטיח שהם יתמקדו בקשר בינם לבין הקטינה ובהתעניינות בה ולא בהטחת האשמות במשפחת האומנה או בגורמי הרווחה.</w:t>
      </w:r>
    </w:p>
    <w:p w:rsidR="00596B8F" w:rsidRDefault="00596B8F" w:rsidP="00596B8F">
      <w:pPr>
        <w:pStyle w:val="ad"/>
        <w:numPr>
          <w:ilvl w:val="1"/>
          <w:numId w:val="1"/>
        </w:numPr>
        <w:spacing w:line="360" w:lineRule="auto"/>
        <w:jc w:val="both"/>
        <w:rPr>
          <w:rFonts w:ascii="Arial" w:hAnsi="Arial"/>
          <w:noProof w:val="0"/>
          <w:rtl/>
        </w:rPr>
      </w:pPr>
      <w:r>
        <w:rPr>
          <w:rFonts w:ascii="Arial" w:hAnsi="Arial"/>
          <w:noProof w:val="0"/>
          <w:rtl/>
        </w:rPr>
        <w:t>מובהר כי החלטת בית המשפט בעניין הקשר בין הסבים לבין הקטינה אינה מנתקת סופית הקשר ביניהם וניתן יהיה לבחון זאת מעת לעת, ברם ככל שלא יחול שינוי משמעותי בהתנהלות הסבים באינטראקציה עם הקטינה וככל שיימצא כי יש לכך השפעה שלילית על יכולת יצירת ההתקשרות בין הקטינה לבין משפחת האומנה, כך תהיה הצדקה רחבה יותר לריווח ואף להפסקת הקשר לתקופה ארוכה יותר.</w:t>
      </w:r>
    </w:p>
    <w:p w:rsidR="00596B8F" w:rsidRDefault="00596B8F" w:rsidP="00596B8F">
      <w:pPr>
        <w:pStyle w:val="ad"/>
        <w:spacing w:line="360" w:lineRule="auto"/>
        <w:ind w:left="1440"/>
        <w:jc w:val="both"/>
        <w:rPr>
          <w:rFonts w:ascii="Arial" w:hAnsi="Arial"/>
          <w:noProof w:val="0"/>
        </w:rPr>
      </w:pPr>
    </w:p>
    <w:p w:rsidR="00596B8F" w:rsidRDefault="00596B8F" w:rsidP="00596B8F">
      <w:pPr>
        <w:pStyle w:val="ad"/>
        <w:numPr>
          <w:ilvl w:val="0"/>
          <w:numId w:val="1"/>
        </w:numPr>
        <w:spacing w:line="360" w:lineRule="auto"/>
        <w:jc w:val="both"/>
        <w:rPr>
          <w:rFonts w:ascii="Arial" w:hAnsi="Arial"/>
          <w:noProof w:val="0"/>
        </w:rPr>
      </w:pPr>
      <w:r>
        <w:rPr>
          <w:rFonts w:ascii="Arial" w:hAnsi="Arial"/>
          <w:noProof w:val="0"/>
          <w:rtl/>
        </w:rPr>
        <w:t>המזכירות תמציא לצדדים ותסגור את התיק ללא צו להוצאות.</w:t>
      </w:r>
    </w:p>
    <w:p w:rsidR="00596B8F" w:rsidRDefault="00596B8F" w:rsidP="00596B8F">
      <w:pPr>
        <w:pStyle w:val="5"/>
        <w:bidi w:val="0"/>
        <w:spacing w:before="0"/>
        <w:jc w:val="right"/>
        <w:rPr>
          <w:rFonts w:ascii="Arial" w:hAnsi="Arial"/>
          <w:noProof w:val="0"/>
        </w:rPr>
      </w:pPr>
    </w:p>
    <w:p w:rsidR="00596B8F" w:rsidRDefault="00E16D94" w:rsidP="00E16D94">
      <w:pPr>
        <w:spacing w:line="360" w:lineRule="auto"/>
        <w:jc w:val="both"/>
        <w:rPr>
          <w:rFonts w:ascii="Arial" w:hAnsi="Arial"/>
          <w:noProof w:val="0"/>
          <w:rtl/>
        </w:rPr>
      </w:pPr>
      <w:r>
        <w:rPr>
          <w:rFonts w:ascii="Arial" w:hAnsi="Arial" w:hint="cs"/>
          <w:noProof w:val="0"/>
          <w:rtl/>
        </w:rPr>
        <w:t>ניתן לפרסום ללא פרטים מזהים</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י"ח חשוון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02 נובמבר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467B1" w:rsidP="00633C4F">
      <w:pPr>
        <w:spacing w:line="360" w:lineRule="auto"/>
        <w:ind w:left="3600" w:firstLine="720"/>
      </w:pPr>
      <w:sdt>
        <w:sdtPr>
          <w:rPr>
            <w:rtl/>
          </w:rPr>
          <w:alias w:val="MergeField"/>
          <w:tag w:val="1237"/>
          <w:id w:val="-311798060"/>
        </w:sdtPr>
        <w:sdtEndPr/>
        <w:sdtContent>
          <w:r w:rsidR="00E16D94">
            <w:drawing>
              <wp:inline distT="0" distB="0" distL="0" distR="0" wp14:editId="50D07946">
                <wp:extent cx="1162050" cy="1171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162050" cy="11715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67B1" w:rsidRDefault="00E467B1">
      <w:r>
        <w:separator/>
      </w:r>
    </w:p>
  </w:endnote>
  <w:endnote w:type="continuationSeparator" w:id="0">
    <w:p w:rsidR="00E467B1" w:rsidRDefault="00E46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64" w:rsidRDefault="00A5386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FC751D">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FC751D">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64" w:rsidRDefault="00A5386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67B1" w:rsidRDefault="00E467B1">
      <w:r>
        <w:separator/>
      </w:r>
    </w:p>
  </w:footnote>
  <w:footnote w:type="continuationSeparator" w:id="0">
    <w:p w:rsidR="00E467B1" w:rsidRDefault="00E46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64" w:rsidRDefault="00A5386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לנוער בבית המשפט המחוזי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467B1" w:rsidP="00E16D94">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ענ"א</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37779-09-23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E16D94">
                <w:rPr>
                  <w:rFonts w:hint="cs"/>
                  <w:b/>
                  <w:bCs/>
                  <w:noProof w:val="0"/>
                  <w:sz w:val="26"/>
                  <w:szCs w:val="26"/>
                  <w:rtl/>
                </w:rPr>
                <w:t>פלונית</w:t>
              </w:r>
              <w:r w:rsidR="00FB3C14">
                <w:rPr>
                  <w:b/>
                  <w:bCs/>
                  <w:noProof w:val="0"/>
                  <w:sz w:val="26"/>
                  <w:szCs w:val="26"/>
                  <w:rtl/>
                </w:rPr>
                <w:t xml:space="preserve"> נ' מחלקה לשרותים חברתיים - נוף הגליל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864" w:rsidRDefault="00A5386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EE50E7"/>
    <w:multiLevelType w:val="multilevel"/>
    <w:tmpl w:val="7F704BB8"/>
    <w:lvl w:ilvl="0">
      <w:start w:val="1"/>
      <w:numFmt w:val="decimal"/>
      <w:lvlText w:val="%1."/>
      <w:lvlJc w:val="left"/>
      <w:pPr>
        <w:ind w:left="720" w:hanging="360"/>
      </w:pPr>
      <w:rPr>
        <w:b w:val="0"/>
        <w:bCs w:val="0"/>
      </w:r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08794"/>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08794&amp;lt;/CaseID&amp;gt;_x000d__x000a_        &amp;lt;CaseMonth&amp;gt;9&amp;lt;/CaseMonth&amp;gt;_x000d__x000a_        &amp;lt;CaseYear&amp;gt;2023&amp;lt;/CaseYear&amp;gt;_x000d__x000a_        &amp;lt;CaseNumber&amp;gt;37779&amp;lt;/CaseNumber&amp;gt;_x000d__x000a_        &amp;lt;NumeratorGroupID&amp;gt;1&amp;lt;/NumeratorGroupID&amp;gt;_x000d__x000a_        &amp;lt;CaseName&amp;gt;דובנוק נ&amp;#39; מחלקה לשרותים חברתיים - נוף הגליל ואח&amp;#39;&amp;lt;/CaseName&amp;gt;_x000d__x000a_        &amp;lt;CourtID&amp;gt;12&amp;lt;/CourtID&amp;gt;_x000d__x000a_        &amp;lt;CaseTypeID&amp;gt;7&amp;lt;/CaseTypeID&amp;gt;_x000d__x000a_        &amp;lt;CaseInterestID&amp;gt;68&amp;lt;/CaseInterestID&amp;gt;_x000d__x000a_        &amp;lt;CaseJudgeName&amp;gt;אסף זגורי&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37779-09-23&amp;lt;/CaseDisplayIdentifier&amp;gt;_x000d__x000a_        &amp;lt;CaseTypeDesc&amp;gt;ענ&amp;quot;א&amp;lt;/CaseTypeDesc&amp;gt;_x000d__x000a_        &amp;lt;CourtDesc&amp;gt;המחוזי נוף הגליל-נצרת&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3-09-18T11:45: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אסף&amp;lt;/CaseJudgeFirstName&amp;gt;_x000d__x000a_        &amp;lt;CaseJudgeLastName&amp;gt;זגורי&amp;lt;/CaseJudgeLastName&amp;gt;_x000d__x000a_        &amp;lt;JudicalPersonID&amp;gt;027185081@GOV.IL&amp;lt;/JudicalPersonID&amp;gt;_x000d__x000a_        &amp;lt;IsJudicalPanel&amp;gt;false&amp;lt;/IsJudicalPanel&amp;gt;_x000d__x000a_        &amp;lt;CourtDisplayName&amp;gt;בית משפט לנוער בבית המשפט המחוזי בנוף הגליל-נצרת&amp;lt;/CourtDisplayName&amp;gt;_x000d__x000a_        &amp;lt;IsAllStartDataCollected&amp;gt;true&amp;lt;/IsAllStartDataCollected&amp;gt;_x000d__x000a_        &amp;lt;IsMainCase&amp;gt;true&amp;lt;/IsMainCase&amp;gt;_x000d__x000a_        &amp;lt;CaseDesc&amp;gt;הודעה על דיום הדיון של יום 31.10.23 נמסרה טלפונית לעו&amp;quot;ד זאיד, עו&amp;quot;ד גלית ולסיגל מהרווחה. טלי&amp;lt;/CaseDesc&amp;gt;_x000d__x000a_        &amp;lt;isExistMinorSide&amp;gt;tru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08794&amp;lt;/CaseID&amp;gt;_x000d__x000a_        &amp;lt;CaseMonth&amp;gt;9&amp;lt;/CaseMonth&amp;gt;_x000d__x000a_        &amp;lt;CaseYear&amp;gt;2023&amp;lt;/CaseYear&amp;gt;_x000d__x000a_        &amp;lt;CaseNumber&amp;gt;37779&amp;lt;/CaseNumber&amp;gt;_x000d__x000a_        &amp;lt;NumeratorGroupID&amp;gt;1&amp;lt;/NumeratorGroupID&amp;gt;_x000d__x000a_        &amp;lt;CaseName&amp;gt;דובנוק נ&amp;#39; מחלקה לשרותים חברתיים - נוף הגליל ואח&amp;#39;&amp;lt;/CaseName&amp;gt;_x000d__x000a_        &amp;lt;CourtID&amp;gt;12&amp;lt;/CourtID&amp;gt;_x000d__x000a_        &amp;lt;CaseTypeID&amp;gt;7&amp;lt;/CaseTypeID&amp;gt;_x000d__x000a_        &amp;lt;CaseInterestID&amp;gt;68&amp;lt;/CaseInterestID&amp;gt;_x000d__x000a_        &amp;lt;CaseJudgeName&amp;gt;אסף זגורי&amp;lt;/CaseJudgeName&amp;gt;_x000d__x000a_        &amp;lt;CaseLinkTypeID&amp;gt;7&amp;lt;/CaseLinkTypeID&amp;gt;_x000d__x000a_        &amp;lt;ProcedureID&amp;gt;1&amp;lt;/ProcedureID&amp;gt;_x000d__x000a_        &amp;lt;CaseStatusID&amp;gt;1&amp;lt;/CaseStatusID&amp;gt;_x000d__x000a_        &amp;lt;ProceedingID&amp;gt;8&amp;lt;/ProceedingID&amp;gt;_x000d__x000a_        &amp;lt;IsCaseLinked&amp;gt;true&amp;lt;/IsCaseLinked&amp;gt;_x000d__x000a_        &amp;lt;PrivilegeID&amp;gt;2&amp;lt;/PrivilegeID&amp;gt;_x000d__x000a_        &amp;lt;IsAppealingCaseExist&amp;gt;false&amp;lt;/IsAppealingCaseExist&amp;gt;_x000d__x000a_        &amp;lt;CaseDisplayIdentifier&amp;gt;37779-09-23&amp;lt;/CaseDisplayIdentifier&amp;gt;_x000d__x000a_        &amp;lt;CaseTypeDesc&amp;gt;ענ&amp;quot;א&amp;lt;/CaseTypeDesc&amp;gt;_x000d__x000a_        &amp;lt;CourtDesc&amp;gt;המחוזי נוף הגליל-נצרת&amp;lt;/CourtDesc&amp;gt;_x000d__x000a_        &amp;lt;CaseStageDesc&amp;gt;תיק אלקטרוני&amp;lt;/CaseStageDesc&amp;gt;_x000d__x000a_        &amp;lt;CaseNextDeterminingTask&amp;gt;140&amp;lt;/CaseNextDeterminingTask&amp;gt;_x000d__x000a_        &amp;lt;CaseOpenDate&amp;gt;2023-09-18T11:45:00+03:00&amp;lt;/CaseOpenDate&amp;gt;_x000d__x000a_        &amp;lt;PleaTypeID&amp;gt;6&amp;lt;/PleaTypeID&amp;gt;_x000d__x000a_        &amp;lt;CourtLevelID&amp;gt;2&amp;lt;/CourtLevelID&amp;gt;_x000d__x000a_        &amp;lt;CourtLevelCaseTypeInterestID&amp;gt;1673&amp;lt;/CourtLevelCaseTypeInterestID&amp;gt;_x000d__x000a_        &amp;lt;CaseJudgeFirstName&amp;gt;אסף&amp;lt;/CaseJudgeFirstName&amp;gt;_x000d__x000a_        &amp;lt;CaseJudgeLastName&amp;gt;זגורי&amp;lt;/CaseJudgeLastName&amp;gt;_x000d__x000a_        &amp;lt;JudicalPersonID&amp;gt;027185081@GOV.IL&amp;lt;/JudicalPersonID&amp;gt;_x000d__x000a_        &amp;lt;IsJudicalPanel&amp;gt;false&amp;lt;/IsJudicalPanel&amp;gt;_x000d__x000a_        &amp;lt;CourtDisplayName&amp;gt;בית משפט לנוער בבית המשפט המחוזי בנוף הגליל-נצרת&amp;lt;/CourtDisplayName&amp;gt;_x000d__x000a_        &amp;lt;IsAllStartDataCollected&amp;gt;true&amp;lt;/IsAllStartDataCollected&amp;gt;_x000d__x000a_        &amp;lt;IsMainCase&amp;gt;true&amp;lt;/IsMainCase&amp;gt;_x000d__x000a_        &amp;lt;CaseDesc&amp;gt;הודעה על דיום הדיון של יום 31.10.23 נמסרה טלפונית לעו&amp;quot;ד זאיד, עו&amp;quot;ד גלית ולסיגל מהרווחה. טלי&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2"/>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28844&amp;lt;/DecisionID&amp;gt;_x000d__x000a_        &amp;lt;DecisionName&amp;gt;פסק דין  שניתנה ע&amp;quot;י  אסף זגורי&amp;lt;/DecisionName&amp;gt;_x000d__x000a_        &amp;lt;DecisionStatusID&amp;gt;1&amp;lt;/DecisionStatusID&amp;gt;_x000d__x000a_        &amp;lt;DecisionStatusChangeDate&amp;gt;2023-11-02T13:54:17.543+02:00&amp;lt;/DecisionStatusChangeDate&amp;gt;_x000d__x000a_        &amp;lt;DecisionSignatureDate&amp;gt;2023-11-02T07:59:38.55+02:00&amp;lt;/DecisionSignatureDate&amp;gt;_x000d__x000a_        &amp;lt;DecisionSignatureUserID&amp;gt;027185081@GOV.IL&amp;lt;/DecisionSignatureUserID&amp;gt;_x000d__x000a_        &amp;lt;DecisionCreateDate&amp;gt;2023-11-02T08:00:43.62+02:00&amp;lt;/DecisionCreateDate&amp;gt;_x000d__x000a_        &amp;lt;DecisionChangeDate&amp;gt;2023-11-02T13:54:17.68+02:00&amp;lt;/DecisionChangeDate&amp;gt;_x000d__x000a_        &amp;lt;DecisionChangeUserID&amp;gt;306001637@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4964639&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1850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185081@GOV.IL&amp;lt;/DecisionCreationUserID&amp;gt;_x000d__x000a_        &amp;lt;DecisionDisplayName&amp;gt;פסק דין  שניתנה ע&amp;quot;י  אסף זגורי&amp;lt;/DecisionDisplayName&amp;gt;_x000d__x000a_        &amp;lt;IsScanned&amp;gt;false&amp;lt;/IsScanned&amp;gt;_x000d__x000a_        &amp;lt;DecisionSignatureUserName&amp;gt;אסף זגור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amp;gt;_x000d__x000a_        &amp;lt;DecisionID&amp;gt;147828844&amp;lt;/DecisionID&amp;gt;_x000d__x000a_        &amp;lt;CaseID&amp;gt;80608794&amp;lt;/CaseID&amp;gt;_x000d__x000a_        &amp;lt;IsOriginal&amp;gt;true&amp;lt;/IsOriginal&amp;gt;_x000d__x000a_        &amp;lt;IsDeleted&amp;gt;false&amp;lt;/IsDeleted&amp;gt;_x000d__x000a_        &amp;lt;CaseName&amp;gt;דובנוק נ&amp;#39; מחלקה לשרותים חברתיים - נוף הגליל ואח&amp;#39;&amp;lt;/CaseName&amp;gt;_x000d__x000a_        &amp;lt;CaseDisplayIdentifier&amp;gt;37779-09-23 ענ&amp;quot;א&amp;lt;/CaseDisplayIdentifier&amp;gt;_x000d__x000a_      &amp;lt;/dt_DecisionCase&amp;gt;_x000d__x000a_    &amp;lt;/DecisionDS&amp;gt;_x000d__x000a_  &amp;lt;/diffgr:diffgram&amp;gt;_x000d__x000a_&amp;lt;/DecisionDS&amp;gt;"/>
    <w:docVar w:name="DecisionID" w:val="147828844"/>
    <w:docVar w:name="WordClientAssemblyName" w:val="NGCS.Decision.ClientWordBL"/>
    <w:docVar w:name="WordClientClassName" w:val="NGCS.Decision.ClientWordBL.DecisionClient"/>
  </w:docVars>
  <w:rsids>
    <w:rsidRoot w:val="00694556"/>
    <w:rsid w:val="00005C8B"/>
    <w:rsid w:val="000063FC"/>
    <w:rsid w:val="000146C2"/>
    <w:rsid w:val="00016C35"/>
    <w:rsid w:val="000258FD"/>
    <w:rsid w:val="000411A3"/>
    <w:rsid w:val="000564AB"/>
    <w:rsid w:val="00060D8B"/>
    <w:rsid w:val="000661D3"/>
    <w:rsid w:val="000D4A02"/>
    <w:rsid w:val="001072A9"/>
    <w:rsid w:val="00121F97"/>
    <w:rsid w:val="00124868"/>
    <w:rsid w:val="001277D7"/>
    <w:rsid w:val="00130356"/>
    <w:rsid w:val="00132017"/>
    <w:rsid w:val="00132E11"/>
    <w:rsid w:val="0014234E"/>
    <w:rsid w:val="00145A87"/>
    <w:rsid w:val="001504A6"/>
    <w:rsid w:val="001C4003"/>
    <w:rsid w:val="001F5474"/>
    <w:rsid w:val="002352F7"/>
    <w:rsid w:val="0027277D"/>
    <w:rsid w:val="003756FD"/>
    <w:rsid w:val="00381D3A"/>
    <w:rsid w:val="003823DA"/>
    <w:rsid w:val="0043595F"/>
    <w:rsid w:val="0047645A"/>
    <w:rsid w:val="004D49A3"/>
    <w:rsid w:val="004D50AC"/>
    <w:rsid w:val="004D79F0"/>
    <w:rsid w:val="004E6E3C"/>
    <w:rsid w:val="005124F1"/>
    <w:rsid w:val="00530BAD"/>
    <w:rsid w:val="00541598"/>
    <w:rsid w:val="00547DB7"/>
    <w:rsid w:val="00567324"/>
    <w:rsid w:val="00596B8F"/>
    <w:rsid w:val="005B0F49"/>
    <w:rsid w:val="005C7EC6"/>
    <w:rsid w:val="005D4BDB"/>
    <w:rsid w:val="005D5F14"/>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27813"/>
    <w:rsid w:val="00944D13"/>
    <w:rsid w:val="00957C90"/>
    <w:rsid w:val="009B70F6"/>
    <w:rsid w:val="009C358E"/>
    <w:rsid w:val="009E0263"/>
    <w:rsid w:val="00A267CF"/>
    <w:rsid w:val="00A342BD"/>
    <w:rsid w:val="00A43458"/>
    <w:rsid w:val="00A53864"/>
    <w:rsid w:val="00AC4E19"/>
    <w:rsid w:val="00AF1ED6"/>
    <w:rsid w:val="00B32C61"/>
    <w:rsid w:val="00B368FE"/>
    <w:rsid w:val="00B80CBD"/>
    <w:rsid w:val="00BC3369"/>
    <w:rsid w:val="00BF77EE"/>
    <w:rsid w:val="00C32E0F"/>
    <w:rsid w:val="00C42BF9"/>
    <w:rsid w:val="00C83E56"/>
    <w:rsid w:val="00CC2A1F"/>
    <w:rsid w:val="00CC63CE"/>
    <w:rsid w:val="00D319B3"/>
    <w:rsid w:val="00D36A71"/>
    <w:rsid w:val="00D53924"/>
    <w:rsid w:val="00D60849"/>
    <w:rsid w:val="00D96D8C"/>
    <w:rsid w:val="00DA755B"/>
    <w:rsid w:val="00DD337E"/>
    <w:rsid w:val="00E00B6F"/>
    <w:rsid w:val="00E14326"/>
    <w:rsid w:val="00E16D94"/>
    <w:rsid w:val="00E44DDF"/>
    <w:rsid w:val="00E467B1"/>
    <w:rsid w:val="00E54642"/>
    <w:rsid w:val="00E97908"/>
    <w:rsid w:val="00EF3ED0"/>
    <w:rsid w:val="00F17E56"/>
    <w:rsid w:val="00F26B9C"/>
    <w:rsid w:val="00FB3C14"/>
    <w:rsid w:val="00FC751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5">
    <w:name w:val="heading 5"/>
    <w:basedOn w:val="a"/>
    <w:next w:val="a"/>
    <w:link w:val="50"/>
    <w:semiHidden/>
    <w:unhideWhenUsed/>
    <w:qFormat/>
    <w:rsid w:val="00596B8F"/>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50">
    <w:name w:val="כותרת 5 תו"/>
    <w:basedOn w:val="a0"/>
    <w:link w:val="5"/>
    <w:semiHidden/>
    <w:rsid w:val="00596B8F"/>
    <w:rPr>
      <w:rFonts w:asciiTheme="majorHAnsi" w:eastAsiaTheme="majorEastAsia" w:hAnsiTheme="majorHAnsi" w:cstheme="majorBidi"/>
      <w:noProof/>
      <w:color w:val="365F91" w:themeColor="accent1" w:themeShade="BF"/>
      <w:sz w:val="24"/>
      <w:szCs w:val="24"/>
    </w:rPr>
  </w:style>
  <w:style w:type="paragraph" w:styleId="ad">
    <w:name w:val="List Paragraph"/>
    <w:basedOn w:val="a"/>
    <w:uiPriority w:val="34"/>
    <w:qFormat/>
    <w:rsid w:val="00596B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4760130">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60606"/>
    <w:rsid w:val="00200BA6"/>
    <w:rsid w:val="00833049"/>
    <w:rsid w:val="00B40AEB"/>
    <w:rsid w:val="00B65812"/>
    <w:rsid w:val="00CC5512"/>
    <w:rsid w:val="00D81324"/>
    <w:rsid w:val="00E34896"/>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E34896"/>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6AD8EC99A7CD466A9E0F368B2B398DDB">
    <w:name w:val="6AD8EC99A7CD466A9E0F368B2B398DDB"/>
    <w:rsid w:val="00E34896"/>
    <w:pPr>
      <w:bidi/>
    </w:pPr>
  </w:style>
  <w:style w:type="paragraph" w:customStyle="1" w:styleId="84A16FDE875C4B08A6DC2D8091F1D88B">
    <w:name w:val="84A16FDE875C4B08A6DC2D8091F1D88B"/>
    <w:rsid w:val="00E34896"/>
    <w:pPr>
      <w:bidi/>
    </w:pPr>
  </w:style>
  <w:style w:type="paragraph" w:customStyle="1" w:styleId="17DDBC4D783046E1B59C75DBCF45ADBD">
    <w:name w:val="17DDBC4D783046E1B59C75DBCF45ADBD"/>
    <w:rsid w:val="00E34896"/>
    <w:pPr>
      <w:bidi/>
    </w:pPr>
  </w:style>
  <w:style w:type="paragraph" w:customStyle="1" w:styleId="F7EFC897BE4C4E8FA0DDC1DB645BE76F">
    <w:name w:val="F7EFC897BE4C4E8FA0DDC1DB645BE76F"/>
    <w:rsid w:val="00E34896"/>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זאיד עמאד</FullName>
        <FirstName>זאיד</FirstName>
        <LastName>עמאד</LastName>
        <PartyPropertyName/>
        <AuthenticationTypeAndNumber>מ.ר. 24725</AuthenticationTypeAndNumber>
        <RepresentatedOrRepresentativesNames>יקטרינה דובנוק</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260650238</CasePartyID>
        <PartyTypeID>2</PartyTypeID>
        <ActivityStatusID>1</ActivityStatusID>
        <PartyAliasID>24</PartyAliasID>
        <PartyAliasName>בא כוח מערערים</PartyAliasName>
        <LegalEntityID>385317</LegalEntityID>
        <CaseLegalEntityID>125970670</CaseLegalEntityID>
        <AuthenticationTypeID>4</AuthenticationTypeID>
        <AuthenticationTypeName>מ.ר.</AuthenticationTypeName>
        <LegalEntityNumber>24725</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מרכז רסקו 16-17 נוף הגליל ת.ד.138038</FullAddress>
        <EmailAddress>izadv1@gmail.com</EmailAddress>
        <MotionID>0</MotionID>
        <CasePleaID>0</CasePleaID>
        <FatherName xml:space="preserve">        </FatherName>
        <LinkedCaseID>0</LinkedCaseID>
        <PartyID>1</PartyID>
        <CasePartyCategoryID>2</CasePartyCategoryID>
        <LegalEntityAddressID>76769634</LegalEntityAddressID>
        <LegalEntityEmailAddressID>67872094</LegalEntityEmailAddressID>
        <PleaTypeID>6</PleaTypeID>
        <LawyerOfficeName>משרד עו"ד: זאיד עמאד</LawyerOfficeName>
        <LawyerOfficeID>425961</LawyerOfficeID>
        <GroupPartyAlias/>
        <IsConverted>false</IsConverted>
        <LegalEntityNameID>6301</LegalEntityNameID>
        <RepresentatedNamesOfAssistant/>
        <LegalEntityTypeID>4</LegalEntityTypeID>
        <IsVerdictExists>false</IsVerdictExists>
        <IsAsirAzir>false</IsAsirAzir>
        <IsPublicationProhibited>false</IsPublicationProhibited>
        <PublicationProhibitedFullName>זאיד עמאד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260699692</CasePartyID>
        <PartyTypeID>2</PartyTypeID>
        <ActivityStatusID>1</ActivityStatusID>
        <PartyAliasID>23</PartyAliasID>
        <PartyAliasName>בא כוח משיבים</PartyAliasName>
        <LegalEntityID>398709</LegalEntityID>
        <CaseLegalEntityID>125985353</CaseLegalEntityID>
        <AuthenticationTypeID>4</AuthenticationTypeID>
        <AuthenticationTypeName>מ.ר.</AuthenticationTypeName>
        <LegalEntityNumber>19247</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גלית מרגלית ביטון</FullName>
        <FirstName>גלית מרגלית</FirstName>
        <LastName>ביטון</LastName>
        <PartyPropertyName/>
        <AuthenticationTypeAndNumber>מ.ר. 39035</AuthenticationTypeAndNumber>
        <RepresentatedOrRepresentativesNames>ורה דובנוק</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260699861</CasePartyID>
        <PartyTypeID>2</PartyTypeID>
        <ActivityStatusID>1</ActivityStatusID>
        <PartyAliasID>23</PartyAliasID>
        <PartyAliasName>בא כוח משיבים</PartyAliasName>
        <LegalEntityID>411756</LegalEntityID>
        <CaseLegalEntityID>125985432</CaseLegalEntityID>
        <AuthenticationTypeID>4</AuthenticationTypeID>
        <AuthenticationTypeName>מ.ר.</AuthenticationTypeName>
        <LegalEntityNumber>39035</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דרך העמק 15/5 מגדל העמק </FullAddress>
        <EmailAddress>galibitton@gmail.com</EmailAddress>
        <MotionID>0</MotionID>
        <CasePleaID>0</CasePleaID>
        <FatherName xml:space="preserve">        </FatherName>
        <LinkedCaseID>0</LinkedCaseID>
        <PartyID>2</PartyID>
        <CasePartyCategoryID>2</CasePartyCategoryID>
        <LegalEntityAddressID>71620893</LegalEntityAddressID>
        <LegalEntityEmailAddressID>67840525</LegalEntityEmailAddressID>
        <PleaTypeID>6</PleaTypeID>
        <LawyerOfficeName>משרד עו"ד: גלית מרגלית ביטון</LawyerOfficeName>
        <LawyerOfficeID>452400</LawyerOfficeID>
        <GroupPartyAlias/>
        <IsConverted>false</IsConverted>
        <LegalEntityNameID>7267500</LegalEntityNameID>
        <RepresentatedNamesOfAssistant/>
        <LegalEntityTypeID>4</LegalEntityTypeID>
        <IsVerdictExists>false</IsVerdictExists>
        <IsAsirAzir>false</IsAsirAzir>
        <IsPublicationProhibited>false</IsPublicationProhibited>
        <PublicationProhibitedFullName>גלית מרגלית ביטון</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יקטרינה דובנוק</FullName>
        <FirstName>יקטרינה</FirstName>
        <LastName>דובנוק</LastName>
        <PartyPropertyName/>
        <AuthenticationTypeAndNumber>ת"ז 328840822</AuthenticationTypeAndNumber>
        <RepresentatedOrRepresentativesNames>זאיד עמאד</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260649687</CasePartyID>
        <PartyTypeID>1</PartyTypeID>
        <ActivityStatusID>1</ActivityStatusID>
        <PartyAliasID>5</PartyAliasID>
        <PartyAliasName>מערער</PartyAliasName>
        <OrdinalNumber>1</OrdinalNumber>
        <LegalEntityID>71108839</LegalEntityID>
        <CaseLegalEntityID>125970497</CaseLegalEntityID>
        <AuthenticationTypeID>1</AuthenticationTypeID>
        <AuthenticationTypeName>ת"ז</AuthenticationTypeName>
        <LegalEntityNumber>328840822</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
        <MotionID>0</MotionID>
        <CasePleaID>0</CasePleaID>
        <FatherName>לאוניד</FatherName>
        <LinkedCaseID>0</LinkedCaseID>
        <PartyID>1</PartyID>
        <CasePartyCategoryID>2</CasePartyCategoryID>
        <PleaTypeID>6</PleaTypeID>
        <GroupPartyAlias>מערערים</GroupPartyAlias>
        <IsConverted>false</IsConverted>
        <LegalEntityRegisteredNameID>8882901</LegalEntityRegisteredNameID>
        <LegalEntityNameID>95485529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יקטרינה דובנוק</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מחלקה לשרותים חברתיים - נוף הגליל</FullName>
        <LastName>מחלקה לשרותים חברתיים - נוף הגליל</LastName>
        <PartyPropertyName/>
        <AuthenticationTypeAndNumber>רשויות מקומיות 500298094</AuthenticationTypeAndNumber>
        <RepresentatedOrRepresentativesNames/>
        <RepresentatedOrRepresentativesCount>0</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260649688</CasePartyID>
        <PartyTypeID>1</PartyTypeID>
        <ActivityStatusID>1</ActivityStatusID>
        <PartyAliasID>4</PartyAliasID>
        <PartyAliasName>משיב</PartyAliasName>
        <OrdinalNumber>1</OrdinalNumber>
        <LegalEntityID>7611383</LegalEntityID>
        <CaseLegalEntityID>125970498</CaseLegalEntityID>
        <AuthenticationTypeID>14</AuthenticationTypeID>
        <AuthenticationTypeName>רשויות מקומיות</AuthenticationTypeName>
        <LegalEntityNumber>500298094</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הגלבוע 16 נוף הגליל </FullAddress>
        <MotionID>0</MotionID>
        <CasePleaID>0</CasePleaID>
        <LinkedCaseID>0</LinkedCaseID>
        <PartyID>2</PartyID>
        <CasePartyCategoryID>2</CasePartyCategoryID>
        <LegalEntityAddressID>7685427</LegalEntityAddressID>
        <PleaTypeID>6</PleaTypeID>
        <GroupPartyAlias>משיבים</GroupPartyAlias>
        <IsConverted>false</IsConverted>
        <LegalEntityRegisteredNameID>8770076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נוף הגליל</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שירי אלוני</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260699634</CasePartyID>
        <PartyTypeID>1</PartyTypeID>
        <ActivityStatusID>1</ActivityStatusID>
        <PartyAliasID>4</PartyAliasID>
        <PartyAliasName>משיב</PartyAliasName>
        <OrdinalNumber>2</OrdinalNumber>
        <LegalEntityID>7545341</LegalEntityID>
        <CaseLegalEntityID>125985330</CaseLegalEntityID>
        <AuthenticationTypeID>13</AuthenticationTypeID>
        <AuthenticationTypeName>משרדי ממשלה</AuthenticationTypeName>
        <LegalEntityNumber>513442037</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ע"י פרקליטות המחוז ירושלים ..</FullAddress>
        <MotionID>0</MotionID>
        <CasePleaID>0</CasePleaID>
        <LinkedCaseID>0</LinkedCaseID>
        <PartyID>2</PartyID>
        <CasePartyCategoryID>2</CasePartyCategoryID>
        <LegalEntityAddressID>82082780</LegalEntityAddressID>
        <PleaTypeID>6</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ורה דובנוק (קטין)</FullName>
        <FirstName>ורה</FirstName>
        <LastName>דובנוק</LastName>
        <PartyPropertyID>2</PartyPropertyID>
        <PartyPropertyName/>
        <AuthenticationTypeAndNumber>ת"ז 339997876</AuthenticationTypeAndNumber>
        <RepresentatedOrRepresentativesNames>גלית מרגלית ביטון</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260699792</CasePartyID>
        <PartyTypeID>1</PartyTypeID>
        <ActivityStatusID>1</ActivityStatusID>
        <PartyAliasID>4</PartyAliasID>
        <PartyAliasName>משיב</PartyAliasName>
        <OrdinalNumber>3</OrdinalNumber>
        <LegalEntityID>78534371</LegalEntityID>
        <CaseLegalEntityID>125985404</CaseLegalEntityID>
        <AuthenticationTypeID>1</AuthenticationTypeID>
        <AuthenticationTypeName>ת"ז</AuthenticationTypeName>
        <LegalEntityNumber>339997876</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
        <MotionID>0</MotionID>
        <CasePleaID>0</CasePleaID>
        <FatherName/>
        <LinkedCaseID>0</LinkedCaseID>
        <PartyID>2</PartyID>
        <CasePartyCategoryID>2</CasePartyCategoryID>
        <PleaTypeID>6</PleaTypeID>
        <GroupPartyAlias>משיבים</GroupPartyAlias>
        <IsConverted>false</IsConverted>
        <LegalEntityRegisteredNameID>8882920</LegalEntityRegisteredNameID>
        <LegalEntityNameID>95485631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ורה דובנוק (קטין)</PublicationProhibitedFullName>
      </CaseParties>
    </CasePartiesSelectionDS>
    <DecisionName>פסק דין  שניתנה ע"י  אסף זגורי</DecisionName>
    <CourtDisplayName>בית משפט לנוער בבית המשפט המחוזי בנוף הגליל-נצרת</CourtDisplayName>
    <IsCaseJudgePanel>false</IsCaseJudgePanel>
    <DecisionSignatureDate>2023-11-02T07:59:38.5492713+02:00</DecisionSignatureDate>
    <OpenCaseDate>2023-09-18T11:45:00+03:00</OpenCaseDate>
    <CaseFeeSum>0.000</CaseFeeSum>
    <DecisionTypeID>2</DecisionTypeID>
    <DecisionSignatureUserName>אסף זגורי</DecisionSignatureUserName>
    <DecisionSignatureDateHebrew>2023-11-02T07:59:38.5492713+02:00</DecisionSignatureDateHebrew>
    <DecisionWriterID>027185081@GOV.IL</DecisionWriterID>
    <CourtAddress>רח' כיכר יצחק רבין היכל המשפט, נוף הגליל 16000</CourtAddress>
    <IsAutoTextInCaseExist>false</IsAutoTextInCaseExist>
    <DecisionSignatureRoleName>שופט</DecisionSignatureRoleName>
    <DecisionSignatureUserTitleName>שופט</DecisionSignatureUserTitleName>
    <CaseName>דובנוק נ' מחלקה לשרותים חברתיים - נוף הגליל ואח'</CaseName>
    <DecisionNumberInCase>12</DecisionNumberInCase>
  </dt_Decision>
  <dt_DecisionCase>
    <DecisionID>0</DecisionID>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זאיד עמאד</FullName>
        <FirstName>זאיד</FirstName>
        <LastName>עמאד</LastName>
        <PartyPropertyName/>
        <AuthenticationTypeAndNumber>מ.ר. 24725</AuthenticationTypeAndNumber>
        <RepresentatedOrRepresentativesNames>יקטרינה דובנוק</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260650238</CasePartyID>
        <PartyTypeID>2</PartyTypeID>
        <ActivityStatusID>1</ActivityStatusID>
        <PartyAliasID>24</PartyAliasID>
        <PartyAliasName>בא כוח מערערים</PartyAliasName>
        <LegalEntityID>385317</LegalEntityID>
        <CaseLegalEntityID>125970670</CaseLegalEntityID>
        <AuthenticationTypeID>4</AuthenticationTypeID>
        <AuthenticationTypeName>מ.ר.</AuthenticationTypeName>
        <LegalEntityNumber>24725</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מרכז רסקו 16-17 נוף הגליל ת.ד.138038</FullAddress>
        <EmailAddress>izadv1@gmail.com</EmailAddress>
        <MotionID>0</MotionID>
        <CasePleaID>0</CasePleaID>
        <FatherName xml:space="preserve">        </FatherName>
        <LinkedCaseID>0</LinkedCaseID>
        <PartyID>1</PartyID>
        <CasePartyCategoryID>2</CasePartyCategoryID>
        <LegalEntityAddressID>76769634</LegalEntityAddressID>
        <LegalEntityEmailAddressID>67872094</LegalEntityEmailAddressID>
        <PleaTypeID>6</PleaTypeID>
        <LawyerOfficeName>משרד עו"ד: זאיד עמאד</LawyerOfficeName>
        <LawyerOfficeID>425961</LawyerOfficeID>
        <GroupPartyAlias/>
        <IsConverted>false</IsConverted>
        <LegalEntityNameID>6301</LegalEntityNameID>
        <RepresentatedNamesOfAssistant/>
        <LegalEntityTypeID>4</LegalEntityTypeID>
        <IsVerdictExists>false</IsVerdictExists>
        <IsAsirAzir>false</IsAsirAzir>
        <IsPublicationProhibited>false</IsPublicationProhibited>
        <PublicationProhibitedFullName>זאיד עמאד</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שירי אלוני</FullName>
        <FirstName>שירי</FirstName>
        <LastName>אלוני</LastName>
        <PartyPropertyName/>
        <AuthenticationTypeAndNumber>מ.ר. 19247</AuthenticationTypeAndNumber>
        <RepresentatedOrRepresentativesNames xml:space="preserve"> </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260699692</CasePartyID>
        <PartyTypeID>2</PartyTypeID>
        <ActivityStatusID>1</ActivityStatusID>
        <PartyAliasID>23</PartyAliasID>
        <PartyAliasName>בא כוח משיבים</PartyAliasName>
        <LegalEntityID>398709</LegalEntityID>
        <CaseLegalEntityID>125985353</CaseLegalEntityID>
        <AuthenticationTypeID>4</AuthenticationTypeID>
        <AuthenticationTypeName>מ.ר.</AuthenticationTypeName>
        <LegalEntityNumber>19247</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חסן שקורי 5 חיפה </FullAddress>
        <EmailAddress>f2m_025085573@molsa.gov.il</EmailAddress>
        <MotionID>0</MotionID>
        <CasePleaID>0</CasePleaID>
        <LinkedCaseID>0</LinkedCaseID>
        <PartyID>2</PartyID>
        <CasePartyCategoryID>2</CasePartyCategoryID>
        <LegalEntityAddressID>71270204</LegalEntityAddressID>
        <LegalEntityEmailAddressID>68157854</LegalEntityEmailAddressID>
        <PleaTypeID>6</PleaTypeID>
        <LawyerOfficeName>לשכה משפטית - משרד העבודה והרווחה - חיפה</LawyerOfficeName>
        <LawyerOfficeID>70307074</LawyerOfficeID>
        <GroupPartyAlias/>
        <IsConverted>false</IsConverted>
        <LegalEntityNameID>19693</LegalEntityNameID>
        <RepresentatedNamesOfAssistant/>
        <LegalEntityTypeID>4</LegalEntityTypeID>
        <IsVerdictExists>false</IsVerdictExists>
        <IsAsirAzir>false</IsAsirAzir>
        <IsPublicationProhibited>false</IsPublicationProhibited>
        <PublicationProhibitedFullName>שירי אלוני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גלית מרגלית ביטון</FullName>
        <FirstName>גלית מרגלית</FirstName>
        <LastName>ביטון</LastName>
        <PartyPropertyName/>
        <AuthenticationTypeAndNumber>מ.ר. 39035</AuthenticationTypeAndNumber>
        <RepresentatedOrRepresentativesNames>ורה דובנוק</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260699861</CasePartyID>
        <PartyTypeID>2</PartyTypeID>
        <ActivityStatusID>1</ActivityStatusID>
        <PartyAliasID>23</PartyAliasID>
        <PartyAliasName>בא כוח משיבים</PartyAliasName>
        <LegalEntityID>411756</LegalEntityID>
        <CaseLegalEntityID>125985432</CaseLegalEntityID>
        <AuthenticationTypeID>4</AuthenticationTypeID>
        <AuthenticationTypeName>מ.ר.</AuthenticationTypeName>
        <LegalEntityNumber>39035</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דרך העמק 15/5 מגדל העמק </FullAddress>
        <EmailAddress>galibitton@gmail.com</EmailAddress>
        <MotionID>0</MotionID>
        <CasePleaID>0</CasePleaID>
        <FatherName xml:space="preserve">        </FatherName>
        <LinkedCaseID>0</LinkedCaseID>
        <PartyID>2</PartyID>
        <CasePartyCategoryID>2</CasePartyCategoryID>
        <LegalEntityAddressID>71620893</LegalEntityAddressID>
        <LegalEntityEmailAddressID>67840525</LegalEntityEmailAddressID>
        <PleaTypeID>6</PleaTypeID>
        <LawyerOfficeName>משרד עו"ד: גלית מרגלית ביטון</LawyerOfficeName>
        <LawyerOfficeID>452400</LawyerOfficeID>
        <GroupPartyAlias/>
        <IsConverted>false</IsConverted>
        <LegalEntityNameID>7267500</LegalEntityNameID>
        <RepresentatedNamesOfAssistant/>
        <LegalEntityTypeID>4</LegalEntityTypeID>
        <IsVerdictExists>false</IsVerdictExists>
        <IsAsirAzir>false</IsAsirAzir>
        <IsPublicationProhibited>false</IsPublicationProhibited>
        <PublicationProhibitedFullName>גלית מרגלית ביטון</PublicationProhibitedFullName>
      </CaseParties>
      <CaseParties>
        <PartyTypeName>צד</PartyTypeName>
        <ProceedingType>כתב טענות עיקרי</ProceedingType>
        <PleaName>הודעת ערעור</PleaName>
        <PartyBelonging>צד א'</PartyBelonging>
        <RoleName>מערער 1 - משיב</RoleName>
        <IsSubProceeding>FALSE</IsSubProceeding>
        <FullName>יקטרינה דובנוק</FullName>
        <FirstName>יקטרינה</FirstName>
        <LastName>דובנוק</LastName>
        <PartyPropertyName/>
        <AuthenticationTypeAndNumber>ת"ז 328840822</AuthenticationTypeAndNumber>
        <RepresentatedOrRepresentativesNames>זאיד עמאד</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260649687</CasePartyID>
        <PartyTypeID>1</PartyTypeID>
        <ActivityStatusID>1</ActivityStatusID>
        <PartyAliasID>5</PartyAliasID>
        <PartyAliasName>מערער</PartyAliasName>
        <OrdinalNumber>1</OrdinalNumber>
        <LegalEntityID>71108839</LegalEntityID>
        <CaseLegalEntityID>125970497</CaseLegalEntityID>
        <AuthenticationTypeID>1</AuthenticationTypeID>
        <AuthenticationTypeName>ת"ז</AuthenticationTypeName>
        <LegalEntityNumber>328840822</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
        <MotionID>0</MotionID>
        <CasePleaID>0</CasePleaID>
        <FatherName>לאוניד</FatherName>
        <LinkedCaseID>0</LinkedCaseID>
        <PartyID>1</PartyID>
        <CasePartyCategoryID>2</CasePartyCategoryID>
        <PleaTypeID>6</PleaTypeID>
        <GroupPartyAlias>מערערים</GroupPartyAlias>
        <IsConverted>false</IsConverted>
        <LegalEntityRegisteredNameID>8882901</LegalEntityRegisteredNameID>
        <LegalEntityNameID>95485529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יקטרינה דובנוק</PublicationProhibitedFullName>
      </CaseParties>
      <CaseParties>
        <PartyTypeName>צד</PartyTypeName>
        <ProceedingType>כתב טענות עיקרי</ProceedingType>
        <PleaName>הודעת ערעור</PleaName>
        <PartyBelonging>צד ב'</PartyBelonging>
        <RoleName>משיב 1 - מבקש</RoleName>
        <IsSubProceeding>FALSE</IsSubProceeding>
        <FullName>מחלקה לשרותים חברתיים - נוף הגליל</FullName>
        <LastName>מחלקה לשרותים חברתיים - נוף הגליל</LastName>
        <PartyPropertyName/>
        <AuthenticationTypeAndNumber>רשויות מקומיות 500298094</AuthenticationTypeAndNumber>
        <RepresentatedOrRepresentativesNames/>
        <RepresentatedOrRepresentativesCount>0</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260649688</CasePartyID>
        <PartyTypeID>1</PartyTypeID>
        <ActivityStatusID>1</ActivityStatusID>
        <PartyAliasID>4</PartyAliasID>
        <PartyAliasName>משיב</PartyAliasName>
        <OrdinalNumber>1</OrdinalNumber>
        <LegalEntityID>7611383</LegalEntityID>
        <CaseLegalEntityID>125970498</CaseLegalEntityID>
        <AuthenticationTypeID>14</AuthenticationTypeID>
        <AuthenticationTypeName>רשויות מקומיות</AuthenticationTypeName>
        <LegalEntityNumber>500298094</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הגלבוע 16 נוף הגליל </FullAddress>
        <MotionID>0</MotionID>
        <CasePleaID>0</CasePleaID>
        <LinkedCaseID>0</LinkedCaseID>
        <PartyID>2</PartyID>
        <CasePartyCategoryID>2</CasePartyCategoryID>
        <LegalEntityAddressID>7685427</LegalEntityAddressID>
        <PleaTypeID>6</PleaTypeID>
        <GroupPartyAlias>משיבים</GroupPartyAlias>
        <IsConverted>false</IsConverted>
        <LegalEntityRegisteredNameID>8770076</LegalEntityRegisteredNameID>
        <RepresentatedNamesOfAssistant/>
        <LegalEntityTypeID>3</LegalEntityTypeID>
        <IsVerdictExists>false</IsVerdictExists>
        <IsAsirAzir>false</IsAsirAzir>
        <IsPublicationProhibited>false</IsPublicationProhibited>
        <PublicationProhibitedFullName>מחלקה לשרותים חברתיים - נוף הגליל</PublicationProhibitedFullName>
      </CaseParties>
      <CaseParties>
        <PartyTypeName>צד</PartyTypeName>
        <ProceedingType>כתב טענות עיקרי</ProceedingType>
        <PleaName>הודעת ערעור</PleaName>
        <PartyBelonging>צד ב'</PartyBelonging>
        <RoleName>משיב 2</RoleName>
        <IsSubProceeding>FALSE</IsSubProceeding>
        <FullName>היועץ המשפטי לממשלה</FullName>
        <LastName>היועץ המשפטי לממשלה</LastName>
        <PartyPropertyName/>
        <AuthenticationTypeAndNumber>משרדי ממשלה 513442037</AuthenticationTypeAndNumber>
        <RepresentatedOrRepresentativesNames>שירי אלוני</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260699634</CasePartyID>
        <PartyTypeID>1</PartyTypeID>
        <ActivityStatusID>1</ActivityStatusID>
        <PartyAliasID>4</PartyAliasID>
        <PartyAliasName>משיב</PartyAliasName>
        <OrdinalNumber>2</OrdinalNumber>
        <LegalEntityID>7545341</LegalEntityID>
        <CaseLegalEntityID>125985330</CaseLegalEntityID>
        <AuthenticationTypeID>13</AuthenticationTypeID>
        <AuthenticationTypeName>משרדי ממשלה</AuthenticationTypeName>
        <LegalEntityNumber>513442037</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ע"י פרקליטות המחוז ירושלים ..</FullAddress>
        <MotionID>0</MotionID>
        <CasePleaID>0</CasePleaID>
        <LinkedCaseID>0</LinkedCaseID>
        <PartyID>2</PartyID>
        <CasePartyCategoryID>2</CasePartyCategoryID>
        <LegalEntityAddressID>82082780</LegalEntityAddressID>
        <PleaTypeID>6</PleaTypeID>
        <GroupPartyAlias>משיבים</GroupPartyAlias>
        <IsConverted>false</IsConverted>
        <LegalEntityRegisteredNameID>981372</LegalEntityRegisteredNameID>
        <RepresentatedNamesOfAssistant/>
        <LegalEntityTypeID>3</LegalEntityTypeID>
        <IsVerdictExists>false</IsVerdictExists>
        <IsAsirAzir>false</IsAsirAzir>
        <IsPublicationProhibited>false</IsPublicationProhibited>
        <PublicationProhibitedFullName>היועץ המשפטי לממשלה</PublicationProhibitedFullName>
      </CaseParties>
      <CaseParties>
        <PartyTypeName>צד</PartyTypeName>
        <ProceedingType>כתב טענות עיקרי</ProceedingType>
        <PleaName>הודעת ערעור</PleaName>
        <PartyBelonging>צד ב'</PartyBelonging>
        <RoleName>משיב 3</RoleName>
        <IsSubProceeding>FALSE</IsSubProceeding>
        <FullName>ורה דובנוק (קטין)</FullName>
        <FirstName>ורה</FirstName>
        <LastName>דובנוק</LastName>
        <PartyPropertyID>2</PartyPropertyID>
        <PartyPropertyName/>
        <AuthenticationTypeAndNumber>ת"ז 339997876</AuthenticationTypeAndNumber>
        <RepresentatedOrRepresentativesNames>גלית מרגלית ביטון</RepresentatedOrRepresentativesNames>
        <RepresentatedOrRepresentativesCount>1</RepresentatedOrRepresentativesCount>
        <InvitedBy/>
        <CaseID>80608794</CaseID>
        <CaseJudicialPersonPresentationDS>
          <CaseJudicalPersonActive>
            <CaseID>80608794</CaseID>
            <JudicialPersonID>027185081@GOV.IL</JudicialPersonID>
            <JudicialPersonTypeID>1</JudicialPersonTypeID>
            <JudicialTypeID>1</JudicialTypeID>
            <IsChairman>false</IsChairman>
            <TreatmentStartDate>2023-09-19T09:35:36.08+03:00</TreatmentStartDate>
            <TreatmentFinishDate>9999-12-31T23:59:59.997+02:00</TreatmentFinishDate>
            <IdentificationCardNumber>027185081</IdentificationCardNumber>
            <DisplayName>אסף זגורי</DisplayName>
            <JudicialTypeName>שופט</JudicialTypeName>
            <CaseJudicialGroupNumber>0</CaseJudicialGroupNumber>
            <FirstName>אסף</FirstName>
            <LastName>זגורי</LastName>
            <JudicialPersonTitle>שופט</JudicialPersonTitle>
          </CaseJudicalPersonActive>
        </CaseJudicialPersonPresentationDS>
        <CasePartyID>260699792</CasePartyID>
        <PartyTypeID>1</PartyTypeID>
        <ActivityStatusID>1</ActivityStatusID>
        <PartyAliasID>4</PartyAliasID>
        <PartyAliasName>משיב</PartyAliasName>
        <OrdinalNumber>3</OrdinalNumber>
        <LegalEntityID>78534371</LegalEntityID>
        <CaseLegalEntityID>125985404</CaseLegalEntityID>
        <AuthenticationTypeID>1</AuthenticationTypeID>
        <AuthenticationTypeName>ת"ז</AuthenticationTypeName>
        <LegalEntityNumber>339997876</LegalEntityNumber>
        <IsMainPartyType>true</IsMainPartyType>
        <CaseDisplayIdentifier>37779-09-23</CaseDisplayIdentifier>
        <CaseTypeID>7</CaseTypeID>
        <CaseTypeName>ערעור נוער  אזרחי (ענ"א)</CaseTypeName>
        <CaseName>דובנוק נ' מחלקה לשרותים חברתיים - נוף הגליל ואח'</CaseName>
        <FullAddress/>
        <MotionID>0</MotionID>
        <CasePleaID>0</CasePleaID>
        <FatherName/>
        <LinkedCaseID>0</LinkedCaseID>
        <PartyID>2</PartyID>
        <CasePartyCategoryID>2</CasePartyCategoryID>
        <PleaTypeID>6</PleaTypeID>
        <GroupPartyAlias>משיבים</GroupPartyAlias>
        <IsConverted>false</IsConverted>
        <LegalEntityRegisteredNameID>8882920</LegalEntityRegisteredNameID>
        <LegalEntityNameID>95485631</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ורה דובנוק (קטין)</PublicationProhibitedFullName>
      </CaseParties>
    </CasePartiesSelectionDS>
    <CaseName>דובנוק נ' מחלקה לשרותים חברתיים - נוף הגליל ואח'</CaseName>
    <CaseDisplayIdentifier>37779-09-23</CaseDisplayIdentifier>
    <CaseInterestID>68</CaseInterestID>
    <CaseTypeShortName>ענ"א</CaseTypeShortName>
  </dt_DecisionCase>
  <dt_DecisionJudgePanel>
    <JudgeID>027185081@GOV.IL</JudgeID>
    <DisplayName>אסף זגורי</DisplayName>
    <RoleName>שופט</RoleName>
    <UserTitleName>שופט</UserTitleName>
  </dt_DecisionJudgePanel>
  <dt_LegalEntityDetails>
    <Fax>04-9941893</Fax>
    <Phone>04-9940133</Phone>
    <AddressDesc>ת.ד.138038</AddressDesc>
    <PartyID>1</PartyID>
    <PartyTypeID>2</PartyTypeID>
    <DecisionID>0</DecisionID>
    <StreetName>מרכז רסקו 16-17</StreetName>
    <ZipCode>12000</ZipCode>
    <CityName>נוף הגליל</CityName>
    <FullName>זאיד עמאד</FullName>
    <Email>izadv1@gmail.com</Email>
    <IsPublicationProhibited>false</IsPublicationProhibited>
  </dt_LegalEntityDetails>
  <dt_LegalEntityDetails>
    <Fax>02-5085573</Fax>
    <Phone>04-8619126</Phone>
    <PartyID>2</PartyID>
    <PartyTypeID>2</PartyTypeID>
    <DecisionID>0</DecisionID>
    <StreetName>חסן שקורי 5</StreetName>
    <CityName>חיפה</CityName>
    <FullName>שירי אלוני</FullName>
    <Email>f2m_025085573@molsa.gov.il</Email>
    <IsPublicationProhibited>false</IsPublicationProhibited>
  </dt_LegalEntityDetails>
  <dt_LegalEntityDetails>
    <Fax>04-6041819</Fax>
    <Phone>04-6041818</Phone>
    <PartyID>2</PartyID>
    <PartyTypeID>2</PartyTypeID>
    <DecisionID>0</DecisionID>
    <StreetName>דרך העמק 15/5 </StreetName>
    <ZipCode>23020</ZipCode>
    <CityName>מגדל העמק</CityName>
    <FullName>גלית מרגלית ביטון</FullName>
    <Email>galibitton@gmail.com</Email>
    <IsPublicationProhibited>false</IsPublicationProhibited>
  </dt_LegalEntityDetails>
  <dt_LegalEntityDetails>
    <PartyID>1</PartyID>
    <PartyTypeID>1</PartyTypeID>
    <DecisionID>0</DecisionID>
    <IsPublicationProhibited>false</IsPublicationProhibited>
  </dt_LegalEntityDetails>
  <dt_LegalEntityDetails>
    <Fax>04-6463028</Fax>
    <Phone>04-6478894</Phone>
    <PartyID>2</PartyID>
    <PartyTypeID>1</PartyTypeID>
    <DecisionID>0</DecisionID>
    <StreetName>הגלבוע 16 </StreetName>
    <CityName>נוף הגליל</CityName>
    <FullName/>
    <IsPublicationProhibited>false</IsPublicationProhibited>
  </dt_LegalEntityDetails>
  <dt_LegalEntityDetails>
    <Fax>03-5138222</Fax>
    <AddressDesc>..</AddressDesc>
    <PartyID>2</PartyID>
    <PartyTypeID>1</PartyTypeID>
    <DecisionID>0</DecisionID>
    <StreetName>ע"י פרקליטות המחוז</StreetName>
    <CityName>ירושלים</CityName>
    <FullName> היועץ המשפטי לממשלה</FullName>
    <IsPublicationProhibited>false</IsPublicationProhibited>
  </dt_LegalEntityDetails>
  <dt_LegalEntityDetails>
    <PartyID>2</PartyID>
    <PartyTypeID>1</PartyTypeID>
    <DecisionID>0</DecisionID>
    <IsPublicationProhibited>false</IsPublicationProhibited>
  </dt_LegalEntityDetails>
  <dt_CaseJudicalPersonActive>
    <CaseJudicalPerson>שופט אסף זגורי</CaseJudicalPerson>
  </dt_CaseJudicalPersonActive>
  <dt_Sitting>
    <PreviousMeetingDate>2023-10-31T10:00:00+02:00</PreviousMeetingDate>
    <PreviousSittingTypeID>5</PreviousSittingTypeID>
    <PreviousMeetingDisplayName>שופט אסף זגורי</PreviousMeetingDisplayName>
    <PreviousMeetingRoleName>שופט</PreviousMeetingRoleName>
    <PreviousMeetingUserTitleName>שופט</PreviousMeetingUserTitleName>
    <PreviousMeetingUserUPN>027185081@GOV.IL</PreviousMeetingUserUPN>
  </dt_Sitting>
</DecisionTemplateDS>
</file>

<file path=customXml/itemProps1.xml><?xml version="1.0" encoding="utf-8"?>
<ds:datastoreItem xmlns:ds="http://schemas.openxmlformats.org/officeDocument/2006/customXml" ds:itemID="{200EEF01-0BCB-4506-8742-DD5F150E582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3905</Words>
  <Characters>19526</Characters>
  <Application>Microsoft Office Word</Application>
  <DocSecurity>0</DocSecurity>
  <Lines>162</Lines>
  <Paragraphs>46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2023-11-05T11:02:00Z</dcterms:created>
  <dcterms:modified xsi:type="dcterms:W3CDTF">2023-11-05T11:02:00Z</dcterms:modified>
</cp:coreProperties>
</file>